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  <w:smallCaps/>
          <w:color w:val="575F6D" w:themeColor="text2"/>
          <w:spacing w:val="5"/>
          <w:sz w:val="24"/>
          <w:szCs w:val="24"/>
        </w:rPr>
        <w:id w:val="-689369987"/>
        <w:docPartObj>
          <w:docPartGallery w:val="Cover Pages"/>
          <w:docPartUnique/>
        </w:docPartObj>
      </w:sdtPr>
      <w:sdtContent>
        <w:p w14:paraId="43762514" w14:textId="77777777" w:rsidR="00715134" w:rsidRDefault="00715134">
          <w:pPr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</w:pPr>
        </w:p>
        <w:tbl>
          <w:tblPr>
            <w:tblpPr w:leftFromText="187" w:rightFromText="187" w:horzAnchor="margin" w:tblpXSpec="center" w:tblpY="2881"/>
            <w:tblW w:w="5529" w:type="pct"/>
            <w:tblBorders>
              <w:left w:val="single" w:sz="18" w:space="0" w:color="4F81BD"/>
            </w:tblBorders>
            <w:tblLook w:val="04A0" w:firstRow="1" w:lastRow="0" w:firstColumn="1" w:lastColumn="0" w:noHBand="0" w:noVBand="1"/>
          </w:tblPr>
          <w:tblGrid>
            <w:gridCol w:w="9529"/>
          </w:tblGrid>
          <w:tr w:rsidR="00715134" w14:paraId="5DE53C99" w14:textId="77777777" w:rsidTr="009F711C">
            <w:trPr>
              <w:trHeight w:val="2426"/>
            </w:trPr>
            <w:tc>
              <w:tcPr>
                <w:tcW w:w="952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67950A0" w14:textId="77777777" w:rsidR="00715134" w:rsidRPr="0057652A" w:rsidRDefault="00715134" w:rsidP="00CE34E1">
                <w:pPr>
                  <w:pStyle w:val="Bezproreda"/>
                  <w:rPr>
                    <w:rFonts w:ascii="Cambria" w:eastAsia="Times New Roman" w:hAnsi="Cambria"/>
                    <w:b/>
                    <w:sz w:val="28"/>
                    <w:szCs w:val="28"/>
                  </w:rPr>
                </w:pPr>
                <w:r w:rsidRPr="0057652A">
                  <w:rPr>
                    <w:rFonts w:ascii="Cambria" w:eastAsia="Times New Roman" w:hAnsi="Cambria"/>
                    <w:b/>
                    <w:sz w:val="28"/>
                    <w:szCs w:val="28"/>
                  </w:rPr>
                  <w:t xml:space="preserve">DJEČJI VRTIĆ ISKRICA </w:t>
                </w:r>
              </w:p>
              <w:p w14:paraId="1716D43B" w14:textId="77777777" w:rsidR="00715134" w:rsidRPr="005336D1" w:rsidRDefault="00715134" w:rsidP="00CE34E1">
                <w:pPr>
                  <w:pStyle w:val="Bezproreda"/>
                  <w:rPr>
                    <w:rFonts w:ascii="Cambria" w:eastAsia="Times New Roman" w:hAnsi="Cambria"/>
                  </w:rPr>
                </w:pPr>
                <w:r w:rsidRPr="005336D1">
                  <w:rPr>
                    <w:rFonts w:ascii="Cambria" w:eastAsia="Times New Roman" w:hAnsi="Cambria"/>
                  </w:rPr>
                  <w:t>Ante Starčevića 1, Lipovljani</w:t>
                </w:r>
              </w:p>
              <w:p w14:paraId="61D8A78F" w14:textId="77777777" w:rsidR="00715134" w:rsidRDefault="00715134" w:rsidP="00CE34E1">
                <w:pPr>
                  <w:pStyle w:val="Bezproreda"/>
                  <w:rPr>
                    <w:rFonts w:ascii="Cambria" w:eastAsia="Times New Roman" w:hAnsi="Cambria"/>
                    <w:sz w:val="28"/>
                    <w:szCs w:val="28"/>
                  </w:rPr>
                </w:pPr>
              </w:p>
              <w:tbl>
                <w:tblPr>
                  <w:tblW w:w="4594" w:type="dxa"/>
                  <w:tblInd w:w="42" w:type="dxa"/>
                  <w:tblLook w:val="04A0" w:firstRow="1" w:lastRow="0" w:firstColumn="1" w:lastColumn="0" w:noHBand="0" w:noVBand="1"/>
                </w:tblPr>
                <w:tblGrid>
                  <w:gridCol w:w="2142"/>
                  <w:gridCol w:w="2452"/>
                </w:tblGrid>
                <w:tr w:rsidR="00715134" w:rsidRPr="00694A05" w14:paraId="622C20DC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4FA107C4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Broj RKP-a: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6FB3DCD7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38358</w:t>
                      </w:r>
                    </w:p>
                  </w:tc>
                </w:tr>
                <w:tr w:rsidR="00715134" w:rsidRPr="00694A05" w14:paraId="3514A9B5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51F58265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Matični broj: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52983ACD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01343980</w:t>
                      </w:r>
                    </w:p>
                  </w:tc>
                </w:tr>
                <w:tr w:rsidR="00715134" w:rsidRPr="00694A05" w14:paraId="1B597FD7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74BF596C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OIB: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6BD667D0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44603469381</w:t>
                      </w:r>
                    </w:p>
                  </w:tc>
                </w:tr>
                <w:tr w:rsidR="00715134" w:rsidRPr="00694A05" w14:paraId="4D50D946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538A1686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Razina: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738EEE17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21</w:t>
                      </w:r>
                    </w:p>
                  </w:tc>
                </w:tr>
                <w:tr w:rsidR="00715134" w:rsidRPr="00694A05" w14:paraId="3DC4FEEB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31AC2214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Šifra djelatnosti: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33A43654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8510</w:t>
                      </w:r>
                    </w:p>
                  </w:tc>
                </w:tr>
                <w:tr w:rsidR="00715134" w:rsidRPr="00694A05" w14:paraId="6FD6119B" w14:textId="77777777" w:rsidTr="009F711C">
                  <w:trPr>
                    <w:trHeight w:val="254"/>
                  </w:trPr>
                  <w:tc>
                    <w:tcPr>
                      <w:tcW w:w="21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noWrap/>
                      <w:vAlign w:val="center"/>
                      <w:hideMark/>
                    </w:tcPr>
                    <w:p w14:paraId="4974655F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jc w:val="right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  <w:sz w:val="16"/>
                          <w:szCs w:val="16"/>
                        </w:rPr>
                        <w:t>Šifra grada/opć.:</w:t>
                      </w:r>
                    </w:p>
                  </w:tc>
                  <w:tc>
                    <w:tcPr>
                      <w:tcW w:w="245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pct25" w:color="C0C0C0" w:fill="auto"/>
                      <w:noWrap/>
                      <w:vAlign w:val="center"/>
                      <w:hideMark/>
                    </w:tcPr>
                    <w:p w14:paraId="1161CBD9" w14:textId="77777777" w:rsidR="00715134" w:rsidRPr="00694A05" w:rsidRDefault="00715134" w:rsidP="00125A77">
                      <w:pPr>
                        <w:framePr w:hSpace="187" w:wrap="around" w:hAnchor="margin" w:xAlign="center" w:y="2881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</w:pPr>
                      <w:r w:rsidRPr="00694A05">
                        <w:rPr>
                          <w:rFonts w:ascii="Arial" w:eastAsia="Times New Roman" w:hAnsi="Arial" w:cs="Arial"/>
                          <w:b/>
                          <w:bCs/>
                          <w:color w:val="595959"/>
                        </w:rPr>
                        <w:t>232</w:t>
                      </w:r>
                    </w:p>
                  </w:tc>
                </w:tr>
              </w:tbl>
              <w:p w14:paraId="026E55FB" w14:textId="77777777" w:rsidR="00715134" w:rsidRDefault="00715134" w:rsidP="00CE34E1">
                <w:pPr>
                  <w:pStyle w:val="Bezproreda"/>
                  <w:rPr>
                    <w:rFonts w:ascii="Cambria" w:eastAsia="Times New Roman" w:hAnsi="Cambria"/>
                  </w:rPr>
                </w:pPr>
              </w:p>
            </w:tc>
          </w:tr>
          <w:tr w:rsidR="00715134" w14:paraId="02B1CA9C" w14:textId="77777777" w:rsidTr="009F711C">
            <w:trPr>
              <w:trHeight w:val="366"/>
            </w:trPr>
            <w:tc>
              <w:tcPr>
                <w:tcW w:w="9529" w:type="dxa"/>
              </w:tcPr>
              <w:p w14:paraId="3E529F30" w14:textId="28CE2464" w:rsidR="00715134" w:rsidRDefault="00715134" w:rsidP="00387EBC">
                <w:pPr>
                  <w:pStyle w:val="Bezproreda"/>
                  <w:rPr>
                    <w:rFonts w:ascii="Cambria" w:eastAsia="Times New Roman" w:hAnsi="Cambria"/>
                    <w:color w:val="4F81BD"/>
                    <w:sz w:val="80"/>
                    <w:szCs w:val="80"/>
                  </w:rPr>
                </w:pPr>
                <w:r w:rsidRPr="00B5304F">
                  <w:rPr>
                    <w:rFonts w:ascii="Cambria" w:eastAsia="Times New Roman" w:hAnsi="Cambria"/>
                    <w:color w:val="4F81BD"/>
                    <w:sz w:val="32"/>
                    <w:szCs w:val="32"/>
                  </w:rPr>
                  <w:t xml:space="preserve">Bilješke  </w:t>
                </w:r>
              </w:p>
            </w:tc>
          </w:tr>
          <w:tr w:rsidR="00715134" w14:paraId="7BDAA8A4" w14:textId="77777777" w:rsidTr="009F711C">
            <w:trPr>
              <w:trHeight w:val="999"/>
            </w:trPr>
            <w:tc>
              <w:tcPr>
                <w:tcW w:w="952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9B671CC" w14:textId="3D5D6536" w:rsidR="00715134" w:rsidRDefault="000A12B8" w:rsidP="00CE34E1">
                <w:pPr>
                  <w:pStyle w:val="Bezproreda"/>
                  <w:rPr>
                    <w:rFonts w:ascii="Cambria" w:eastAsia="Times New Roman" w:hAnsi="Cambria"/>
                  </w:rPr>
                </w:pPr>
                <w:r>
                  <w:rPr>
                    <w:rFonts w:ascii="Cambria" w:eastAsia="Times New Roman" w:hAnsi="Cambria"/>
                  </w:rPr>
                  <w:t xml:space="preserve">Izvještaj </w:t>
                </w:r>
                <w:r w:rsidR="00715134">
                  <w:rPr>
                    <w:rFonts w:ascii="Cambria" w:eastAsia="Times New Roman" w:hAnsi="Cambria"/>
                  </w:rPr>
                  <w:t xml:space="preserve"> za razdoblje od 1.1.-3</w:t>
                </w:r>
                <w:r w:rsidR="00D0056A">
                  <w:rPr>
                    <w:rFonts w:ascii="Cambria" w:eastAsia="Times New Roman" w:hAnsi="Cambria"/>
                  </w:rPr>
                  <w:t>0</w:t>
                </w:r>
                <w:r w:rsidR="00715134">
                  <w:rPr>
                    <w:rFonts w:ascii="Cambria" w:eastAsia="Times New Roman" w:hAnsi="Cambria"/>
                  </w:rPr>
                  <w:t>.</w:t>
                </w:r>
                <w:r w:rsidR="00D0056A">
                  <w:rPr>
                    <w:rFonts w:ascii="Cambria" w:eastAsia="Times New Roman" w:hAnsi="Cambria"/>
                  </w:rPr>
                  <w:t>6</w:t>
                </w:r>
                <w:r w:rsidR="00546224">
                  <w:rPr>
                    <w:rFonts w:ascii="Cambria" w:eastAsia="Times New Roman" w:hAnsi="Cambria"/>
                  </w:rPr>
                  <w:t>.202</w:t>
                </w:r>
                <w:r w:rsidR="0057596D">
                  <w:rPr>
                    <w:rFonts w:ascii="Cambria" w:eastAsia="Times New Roman" w:hAnsi="Cambria"/>
                  </w:rPr>
                  <w:t>5</w:t>
                </w:r>
                <w:r w:rsidR="00715134">
                  <w:rPr>
                    <w:rFonts w:ascii="Cambria" w:eastAsia="Times New Roman" w:hAnsi="Cambria"/>
                  </w:rPr>
                  <w:t>.</w:t>
                </w:r>
                <w:r w:rsidR="00546224">
                  <w:rPr>
                    <w:rFonts w:ascii="Cambria" w:eastAsia="Times New Roman" w:hAnsi="Cambria"/>
                  </w:rPr>
                  <w:t>g.</w:t>
                </w:r>
              </w:p>
              <w:p w14:paraId="6738A8FA" w14:textId="77777777" w:rsidR="00715134" w:rsidRDefault="00715134" w:rsidP="00CE34E1">
                <w:pPr>
                  <w:pStyle w:val="Bezproreda"/>
                  <w:rPr>
                    <w:rFonts w:ascii="Cambria" w:eastAsia="Times New Roman" w:hAnsi="Cambria"/>
                  </w:rPr>
                </w:pPr>
              </w:p>
              <w:p w14:paraId="03B77822" w14:textId="77777777" w:rsidR="00715134" w:rsidRDefault="00715134" w:rsidP="00CE34E1">
                <w:pPr>
                  <w:pStyle w:val="Bezproreda"/>
                  <w:rPr>
                    <w:rFonts w:ascii="Cambria" w:eastAsia="Times New Roman" w:hAnsi="Cambria"/>
                  </w:rPr>
                </w:pPr>
              </w:p>
              <w:p w14:paraId="308866C0" w14:textId="77777777" w:rsidR="00715134" w:rsidRDefault="00715134" w:rsidP="00715134">
                <w:pPr>
                  <w:pStyle w:val="Bezproreda"/>
                  <w:rPr>
                    <w:rFonts w:ascii="Cambria" w:eastAsia="Times New Roman" w:hAnsi="Cambria"/>
                  </w:rPr>
                </w:pPr>
              </w:p>
            </w:tc>
          </w:tr>
        </w:tbl>
        <w:p w14:paraId="0E849411" w14:textId="77777777" w:rsidR="0050552E" w:rsidRDefault="00B43AFC" w:rsidP="0050552E">
          <w:pPr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</w:pPr>
          <w:r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707904" behindDoc="0" locked="0" layoutInCell="1" allowOverlap="1" wp14:anchorId="00618943" wp14:editId="18D66893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57150" t="38100" r="74295" b="102870"/>
                    <wp:wrapNone/>
                    <wp:docPr id="1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7FC3BEB5" id="Grupa 1" o:spid="_x0000_s1026" style="position:absolute;margin-left:0;margin-top:0;width:139.7pt;height:842.4pt;z-index:251707904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GARwQAAOAXAAAOAAAAZHJzL2Uyb0RvYy54bWzsWNuO2zYQfS/QfyD03tXVumG9QeCk2wJp&#10;EyTpB3Al6oJIpErSaztf3yGpWywbucGboPCLLUoccubwzCGHt8/2bYMeCRc1o2vLvXEsRGjG8pqW&#10;a+uf97//FltISExz3DBK1taBCOvZ3a+/3O66lHisYk1OOIJBqEh33dqqpOxS2xZZRVosblhHKHws&#10;GG+xhCYv7ZzjHYzeNrbnOKG9YzzvOMuIEPD2hflo3enxi4Jk8nVRCCJRs7bAN6l/uf59UL/23S1O&#10;S467qs56N/A3eNHimsKk41AvsMRoy+vFUG2dcSZYIW8y1tqsKOqM6BggGtc5iuaes22nYynTXdmN&#10;MAG0Rzh987DZ349vOKpzWDsLUdzCEt3zbYeRq6DZdWUKPe559657w/sXpWmpaPcFb9U/xIH2GtTD&#10;CCrZS5TBSzeK/MSPLJTBN9cJkziIe9yzChZnYZhVLyfTwEv8pak9TG0rD0eHxsboeR9buJqCA0hR&#10;FC2jM6sHgb5i2QcBseqxp+jNmP1c6GH3F8sBLLyVTC/8ERS+EyduYqETeAThyo+CZVA4HfEIHc/T&#10;tnHsrwxHJ1Q83wUmazRD1w3U57N4QFKJiTfi+3jzrsId0XQUihUDtuGA7VvINkzLhqAoNvjqfoo6&#10;ClxhkEWUbSroRp5zznYVwTm4pdkGgM8MVEOA6WehDsMIXACgJ7BG7q1cwPE0VDjtuJD3hLVIPawt&#10;Du7rpcSPr4Q0qA5dlP8NNaQwbik6wJM8NMR8fEsKyCNFeD2IVjCyaTh6xKA9OMsIlXotYbEaCr2V&#10;WVE3zWjofd6w769MiVa30fgLZh0t9MyMytG4rSnjp2bPP5iVAU9Nf50WY9wKggeWH2CVODPaCnsB&#10;PFSMf7TQDnR1bYl/t5gTCzV/UljpxA0CJcS6EawiDxp8/uVh/gXTDIZaW9JC5nEjjXhvO16XFcxk&#10;4qbsOSRiUetlm7zqvYUcMMt1+WQAnTMqqvzRCYOiZJYMG2qSIdvTXmnGfNC93x86UJVP0sGYfHk6&#10;+CujO8t0OCsbi1wQkmOF74ZRCmnBuIH5bGYoRqlUfklzSBKcSlw35lmzfWCNVoJr3mjpMHkzSMoT&#10;UhROZMcUNRuyWhjQ9ctTNPb94+1tUOwZRQflGXbWQYt7ub5SdLahXFLafwBFQcAWFNV0eDKKhqsY&#10;pPzkoWJG0U8PX1cVVVXbuTPP/4uiEbBgQVHvaTf6ZZGwVFFHHz7G+uBK0Z+ColPZ+kTn0mis7l9D&#10;OYJif8bUS9dnkCmgo1ESrPxECybULkOB7zpuHENxbu4GItdzdeV4nq+kaepOqCoUp9fT6FCVmcLz&#10;WsWpK8Ovugo7faURwenUiLvJFl2290ePi2QLKoDVfwzFbH+b5q2SIDHnZLg/iyNzqTJLnjgOnCF3&#10;Ei9w9K3aNXV+zBHk578A0ZsOXCPr68L+ylvdU8/bulCfLubv/gMAAP//AwBQSwMEFAAGAAgAAAAh&#10;AKYurVfcAAAABgEAAA8AAABkcnMvZG93bnJldi54bWxMj0FLw0AQhe+C/2EZwYu0G0OpMWZTpBA9&#10;p0qlt212TILZ2bi7beK/d/SilwfDe7z3TbGZ7SDO6EPvSMHtMgGB1DjTU6vg9aVaZCBC1GT04AgV&#10;fGGATXl5UejcuIlqPO9iK7iEQq4VdDGOuZSh6dDqsHQjEnvvzlsd+fStNF5PXG4HmSbJWlrdEy90&#10;esRth83H7mQV7Kt9PX0e0uf6ra1unhrfY7Rbpa6v5scHEBHn+BeGH3xGh5KZju5EJohBAT8Sf5W9&#10;9O5+BeLIoXW2ykCWhfyPX34DAAD//wMAUEsBAi0AFAAGAAgAAAAhALaDOJL+AAAA4QEAABMAAAAA&#10;AAAAAAAAAAAAAAAAAFtDb250ZW50X1R5cGVzXS54bWxQSwECLQAUAAYACAAAACEAOP0h/9YAAACU&#10;AQAACwAAAAAAAAAAAAAAAAAvAQAAX3JlbHMvLnJlbHNQSwECLQAUAAYACAAAACEARGeBgEcEAADg&#10;FwAADgAAAAAAAAAAAAAAAAAuAgAAZHJzL2Uyb0RvYy54bWxQSwECLQAUAAYACAAAACEApi6tV9wA&#10;AAAGAQAADwAAAAAAAAAAAAAAAAChBgAAZHJzL2Rvd25yZXYueG1sUEsFBgAAAAAEAAQA8wAAAKoH&#10;AAAAAA==&#10;">
    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ect id="Rectangle 78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+Aj8IA&#10;AADbAAAADwAAAGRycy9kb3ducmV2LnhtbESP3WoCMRSE7wXfIRyhN1KT9mItW6OoIBXpjdoHOGzO&#10;/mBysm7Sdfv2Rih4OczMN8xiNTgreupC41nD20yBIC68abjS8HPevX6ACBHZoPVMGv4owGo5Hi0w&#10;N/7GR+pPsRIJwiFHDXWMbS5lKGpyGGa+JU5e6TuHMcmukqbDW4I7K9+VyqTDhtNCjS1tayoup1+n&#10;oZz29uv6PS+nVuFhQzvVGn/R+mUyrD9BRBriM/zf3hsNWQa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4CPwgAAANsAAAAPAAAAAAAAAAAAAAAAAJgCAABkcnMvZG93&#10;bnJldi54bWxQSwUGAAAAAAQABAD1AAAAhwMAAAAA&#10;" fillcolor="#dfe4ee [1272]" strokecolor="#6078ad [2248]" strokeweight="1pt">
                        <v:fill color2="#c6cee1 [2264]" rotate="t" focusposition="19661f,101581f" focussize="-52429f,-85197f" colors="0 #dae3f9;19661f #dae3f9;.75 #cad7f7;1 #b8caf5" focus="100%" type="gradientRadial"/>
                        <v:shadow on="t" color="black" opacity="26214f" origin=",.5" offset="0,.69444mm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Ot6cMAAADbAAAADwAAAGRycy9kb3ducmV2LnhtbESPT4vCMBTE7wt+h/CEvSya6qGr1Sju&#10;grDgyT/o9dE822ryUpuo9dsbQdjjMDO/Yabz1hpxo8ZXjhUM+gkI4tzpigsFu+2yNwLhA7JG45gU&#10;PMjDfNb5mGKm3Z3XdNuEQkQI+wwVlCHUmZQ+L8mi77uaOHpH11gMUTaF1A3eI9waOUySVFqsOC6U&#10;WNNvSfl5c7UKTnq3H/7gYLy6HIzhU0qHxfhLqc9uu5iACNSG//C7/acVpN/w+hJ/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zrenDAAAA2wAAAA8AAAAAAAAAAAAA&#10;AAAAoQIAAGRycy9kb3ducmV2LnhtbFBLBQYAAAAABAAEAPkAAACRAwAAAAA=&#10;" filled="t" fillcolor="#dfe4ee [1272]" strokecolor="#6078ad [2248]" strokeweight="1pt">
                        <v:fill color2="#c6cee1 [2264]" rotate="t" focusposition="19661f,101581f" focussize="-52429f,-85197f" colors="0 #dae3f9;19661f #dae3f9;.75 #cad7f7;1 #b8caf5" focus="100%" type="gradientRadial"/>
                        <v:shadow on="t" color="black" opacity="26214f" origin=",.5" offset="0,.69444mm"/>
                      </v:shape>
                      <v:shape id="AutoShape 80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w5m8AAAADbAAAADwAAAGRycy9kb3ducmV2LnhtbERPy4rCMBTdC/5DuMJsZJrqomg1igrC&#10;wKxGZdxemmsfJje1idr5+8lCcHk47+W6t0Y8qPO1YwWTJAVBXDhdc6ngdNx/zkD4gKzROCYFf+Rh&#10;vRoOlphr9+QfehxCKWII+xwVVCG0uZS+qMiiT1xLHLmL6yyGCLtS6g6fMdwaOU3TTFqsOTZU2NKu&#10;ouJ6uFsFjT79Trc4mX/fzsZwk9F5Mx8r9THqNwsQgfrwFr/cX1pBFsfGL/EH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sOZvAAAAA2wAAAA8AAAAAAAAAAAAAAAAA&#10;oQIAAGRycy9kb3ducmV2LnhtbFBLBQYAAAAABAAEAPkAAACOAwAAAAA=&#10;" filled="t" fillcolor="#dfe4ee [1272]" strokecolor="#6078ad [2248]" strokeweight="1pt">
                        <v:fill color2="#c6cee1 [2264]" rotate="t" focusposition="19661f,101581f" focussize="-52429f,-85197f" colors="0 #dae3f9;19661f #dae3f9;.75 #cad7f7;1 #b8caf5" focus="100%" type="gradientRadial"/>
                        <v:shadow on="t" color="black" opacity="26214f" origin=",.5" offset="0,.69444mm"/>
                      </v:shape>
                      <v:shape id="AutoShape 81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cAMIAAADbAAAADwAAAGRycy9kb3ducmV2LnhtbESPQYvCMBSE7wv+h/AEL4umeijbahRd&#10;WBA8rSt6fTTPtpq81CZq/fdmQfA4zMw3zGzRWSNu1PrasYLxKAFBXDhdc6lg9/cz/ALhA7JG45gU&#10;PMjDYt77mGGu3Z1/6bYNpYgQ9jkqqEJocil9UZFFP3INcfSOrrUYomxLqVu8R7g1cpIkqbRYc1yo&#10;sKHviorz9moVnPRuP1nhONtcDsbwKaXDMvtUatDvllMQgbrwDr/aa60gzeD/S/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CcAMIAAADbAAAADwAAAAAAAAAAAAAA&#10;AAChAgAAZHJzL2Rvd25yZXYueG1sUEsFBgAAAAAEAAQA+QAAAJADAAAAAA==&#10;" filled="t" fillcolor="#dfe4ee [1272]" strokecolor="#6078ad [2248]" strokeweight="1pt">
                        <v:fill color2="#c6cee1 [2264]" rotate="t" focusposition="19661f,101581f" focussize="-52429f,-85197f" colors="0 #dae3f9;19661f #dae3f9;.75 #cad7f7;1 #b8caf5" focus="100%" type="gradientRadial"/>
                        <v:shadow on="t" color="black" opacity="26214f" origin=",.5" offset="0,.69444mm"/>
                      </v:shape>
                      <v:shape id="AutoShape 82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OjQL8AAADbAAAADwAAAGRycy9kb3ducmV2LnhtbERPy4rCMBTdC/MP4Q64EU11oWM1igqC&#10;4MoH4/bSXNtqclObqPXvzUJweTjv6byxRjyo9qVjBf1eAoI4c7rkXMHxsO7+gfABWaNxTApe5GE+&#10;+2lNMdXuyTt67EMuYgj7FBUUIVSplD4ryKLvuYo4cmdXWwwR1rnUNT5juDVykCRDabHk2FBgRauC&#10;suv+bhVc9PF/sMT+eHs7GcOXIZ0W445S7d9mMQERqAlf8ce90QpGcX38En+AnL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UOjQL8AAADbAAAADwAAAAAAAAAAAAAAAACh&#10;AgAAZHJzL2Rvd25yZXYueG1sUEsFBgAAAAAEAAQA+QAAAI0DAAAAAA==&#10;" filled="t" fillcolor="#dfe4ee [1272]" strokecolor="#6078ad [2248]" strokeweight="1pt">
                        <v:fill color2="#c6cee1 [2264]" rotate="t" focusposition="19661f,101581f" focussize="-52429f,-85197f" colors="0 #dae3f9;19661f #dae3f9;.75 #cad7f7;1 #b8caf5" focus="100%" type="gradientRadial"/>
                        <v:shadow on="t" color="black" opacity="26214f" origin=",.5" offset="0,.69444mm"/>
                      </v:shape>
                    </v:group>
                    <v:oval id="Oval 83" o:spid="_x0000_s1033" style="position:absolute;top:79453;width:1101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u7MQA&#10;AADbAAAADwAAAGRycy9kb3ducmV2LnhtbESP3WoCMRSE7wt9h3AK3ml2BbWsRikVQUGQWn/vDpvT&#10;3aWbkyWJur69KQi9HGbmG2Yya00truR8ZVlB2ktAEOdWV1wo2H0vuu8gfEDWWFsmBXfyMJu+vkww&#10;0/bGX3TdhkJECPsMFZQhNJmUPi/JoO/Zhjh6P9YZDFG6QmqHtwg3tewnyVAarDgulNjQZ0n57/Zi&#10;FGDuijo9rYaHPR94PVjPN8fzXKnOW/sxBhGoDf/hZ3upFYxS+Ps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5LuzEAAAA2wAAAA8AAAAAAAAAAAAAAAAAmAIAAGRycy9k&#10;b3ducmV2LnhtbFBLBQYAAAAABAAEAPUAAACJAwAAAAA=&#10;" fillcolor="#dfe4ee [1272]" strokecolor="#6078ad [2248]" strokeweight="1pt">
                      <v:fill color2="#c6cee1 [2264]" rotate="t" focusposition="19661f,101581f" focussize="-52429f,-85197f" colors="0 #dae3f9;19661f #dae3f9;.75 #cad7f7;1 #b8caf5" focus="100%" type="gradientRadial"/>
                      <v:shadow on="t" color="black" opacity="26214f" origin=",.5" offset="0,.69444mm"/>
                    </v:oval>
                    <v:oval id="Oval 85" o:spid="_x0000_s1034" style="position:absolute;left:2594;top:93787;width:1884;height:1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+Z8IA&#10;AADbAAAADwAAAGRycy9kb3ducmV2LnhtbESPQYvCMBSE74L/ITzBm03tQaUaRQRR0IuuqMdH82yL&#10;zUtporb/3iws7HGYmW+Yxao1lXhT40rLCsZRDII4s7rkXMHlZzuagXAeWWNlmRR05GC17PcWmGr7&#10;4RO9zz4XAcIuRQWF93UqpcsKMugiWxMH72Ebgz7IJpe6wU+Am0omcTyRBksOCwXWtCkoe55fRoGf&#10;Xmfd69iOk5vMDrvjhLv7fafUcNCu5yA8tf4//NfeawXTBH6/hB8gl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v5nwgAAANsAAAAPAAAAAAAAAAAAAAAAAJgCAABkcnMvZG93&#10;bnJldi54bWxQSwUGAAAAAAQABAD1AAAAhwMAAAAA&#10;" fillcolor="#dfe4ee [1272]" strokecolor="#6078ad [2248]" strokeweight="1pt">
                      <v:fill color2="#c6cee1 [2264]" rotate="t" focusposition="19661f,101581f" focussize="-52429f,-85197f" colors="0 #dae3f9;19661f #dae3f9;.75 #cad7f7;1 #b8caf5" focus="100%" type="gradientRadial"/>
                      <v:shadow on="t" color="black" opacity="26214f" origin=",.5" offset="0,.69444mm"/>
                    </v:oval>
                    <w10:wrap anchorx="page" anchory="page"/>
                  </v:group>
                </w:pict>
              </mc:Fallback>
            </mc:AlternateContent>
          </w:r>
          <w:r>
            <w:rPr>
              <w:rFonts w:ascii="Century Schoolbook" w:hAnsi="Century Schoolbook"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700736" behindDoc="0" locked="0" layoutInCell="0" allowOverlap="1" wp14:anchorId="5778A622" wp14:editId="4A8A5193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0900" cy="815975"/>
                    <wp:effectExtent l="0" t="0" r="2540" b="3175"/>
                    <wp:wrapNone/>
                    <wp:docPr id="74" name="Pravokutnik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90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EFADB" w14:textId="77777777" w:rsidR="007311CB" w:rsidRDefault="00000000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Autor"/>
                                    <w:id w:val="280430085"/>
                                    <w:showingPlcHdr/>
                                    <w:text/>
                                  </w:sdtPr>
                                  <w:sdtContent>
                                    <w:r w:rsidR="007311CB"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79A9959" w14:textId="77777777" w:rsidR="007311CB" w:rsidRDefault="00000000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Datum"/>
                                    <w:id w:val="280430091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7311CB"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78A622" id="Pravokutnik 54" o:spid="_x0000_s1026" style="position:absolute;margin-left:0;margin-top:0;width:367pt;height:64.25pt;z-index:251700736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Dh7QEAAMADAAAOAAAAZHJzL2Uyb0RvYy54bWysU8Fu2zAMvQ/YPwi6L7aDJG2MOEWRIsOA&#10;bivQ7QNkWbaFyaJGKbG7rx+lpGmw3Yb5IJAi9cT39Ly5mwbDjgq9BlvxYpZzpqyERtuu4t+/7T/c&#10;cuaDsI0wYFXFX5Tnd9v37zajK9UcejCNQkYg1pejq3gfgiuzzMteDcLPwClLxRZwEIFS7LIGxUjo&#10;g8nmeb7KRsDGIUjlPe0+nIp8m/DbVsnwtW29CsxUnGYLacW01nHNthtRdihcr+V5DPEPUwxCW7r0&#10;AvUggmAH1H9BDVoieGjDTMKQQdtqqRIHYlPkf7B57oVTiQuJ491FJv//YOWX47N7wji6d48gf3hm&#10;YdcL26l7RBh7JRq6rohCZaPz5eVATDwdZfX4GRp6WnEIkDSYWhwiILFjU5L65SK1mgKTtLlYrfJ1&#10;Ti8iqXZbLNc3y3SFKF9PO/Tho4KBxaDiSE+Z0MXx0Yc4jShfW9L0YHSz18akBLt6Z5AdBT37Pn1n&#10;dH/dZmxsthCPnRDjTqIZmUUT+TJM9UTFGNbQvBBhhJONyPYU9IC/OBvJQhX3Pw8CFWfmkyXR1sVi&#10;ET2XksXyZk4JXlfq64qwkqAqHjg7hbtw8unBoe56uqlI/C3ck9CtThq8TXWem2ySpDlbOvrwOk9d&#10;bz/e9jcAAAD//wMAUEsDBBQABgAIAAAAIQDA/4IM2QAAAAUBAAAPAAAAZHJzL2Rvd25yZXYueG1s&#10;TI/BTsMwEETvSPyDtUjcqEMpUNI4FSDBFdHkA5x4m0TY68h22zRfz8IFLiuNZjT7pthOzoojhjh4&#10;UnC7yEAgtd4M1Cmoq7ebNYiYNBltPaGCM0bYlpcXhc6NP9EnHnepE1xCMdcK+pTGXMrY9uh0XPgR&#10;ib29D04nlqGTJugTlzsrl1n2IJ0eiD/0esTXHtuv3cEp+HjJqlCd56cmRLJxVc+hfp+Vur6anjcg&#10;Ek7pLww/+IwOJTM1/kAmCquAh6Tfy97j3Yplw6Hl+h5kWcj/9OU3AAAA//8DAFBLAQItABQABgAI&#10;AAAAIQC2gziS/gAAAOEBAAATAAAAAAAAAAAAAAAAAAAAAABbQ29udGVudF9UeXBlc10ueG1sUEsB&#10;Ai0AFAAGAAgAAAAhADj9If/WAAAAlAEAAAsAAAAAAAAAAAAAAAAALwEAAF9yZWxzLy5yZWxzUEsB&#10;Ai0AFAAGAAgAAAAhAIGvIOHtAQAAwAMAAA4AAAAAAAAAAAAAAAAALgIAAGRycy9lMm9Eb2MueG1s&#10;UEsBAi0AFAAGAAgAAAAhAMD/ggzZAAAABQEAAA8AAAAAAAAAAAAAAAAARwQAAGRycy9kb3ducmV2&#10;LnhtbFBLBQYAAAAABAAEAPMAAABNBQAAAAA=&#10;" o:allowincell="f" stroked="f">
                    <v:textbox>
                      <w:txbxContent>
                        <w:p w14:paraId="676EFADB" w14:textId="77777777" w:rsidR="007311CB" w:rsidRDefault="00000000">
                          <w:pPr>
                            <w:spacing w:after="100"/>
                            <w:rPr>
                              <w:color w:val="E65B01" w:themeColor="accent1" w:themeShade="B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Autor"/>
                              <w:id w:val="280430085"/>
                              <w:showingPlcHdr/>
                              <w:text/>
                            </w:sdtPr>
                            <w:sdtContent>
                              <w:r w:rsidR="007311CB"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79A9959" w14:textId="77777777" w:rsidR="007311CB" w:rsidRDefault="00000000">
                          <w:pPr>
                            <w:spacing w:after="100"/>
                            <w:rPr>
                              <w:color w:val="E65B01" w:themeColor="accent1" w:themeShade="BF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Datum"/>
                              <w:id w:val="280430091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311CB"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p>
      </w:sdtContent>
    </w:sdt>
    <w:p w14:paraId="5113A025" w14:textId="77777777" w:rsidR="0027078C" w:rsidRPr="0027078C" w:rsidRDefault="0027078C" w:rsidP="0027078C">
      <w:pPr>
        <w:jc w:val="both"/>
        <w:rPr>
          <w:rFonts w:ascii="Arial" w:hAnsi="Arial" w:cs="Arial"/>
          <w:b/>
          <w:bCs/>
        </w:rPr>
      </w:pPr>
      <w:r w:rsidRPr="0027078C">
        <w:rPr>
          <w:rFonts w:ascii="Arial" w:hAnsi="Arial" w:cs="Arial"/>
          <w:b/>
          <w:bCs/>
        </w:rPr>
        <w:lastRenderedPageBreak/>
        <w:t>Zakonski okvir</w:t>
      </w:r>
    </w:p>
    <w:p w14:paraId="78F39709" w14:textId="77777777" w:rsidR="0027078C" w:rsidRPr="0027078C" w:rsidRDefault="0027078C" w:rsidP="00BB4822">
      <w:pPr>
        <w:spacing w:after="0"/>
        <w:jc w:val="both"/>
        <w:rPr>
          <w:rFonts w:ascii="Arial" w:hAnsi="Arial" w:cs="Arial"/>
        </w:rPr>
      </w:pPr>
      <w:r w:rsidRPr="0027078C">
        <w:rPr>
          <w:rFonts w:ascii="Arial" w:hAnsi="Arial" w:cs="Arial"/>
        </w:rPr>
        <w:t>Zakon o proračunu (Narodne novine, br. 87/08, 136/12,15/15 i 144/21)</w:t>
      </w:r>
    </w:p>
    <w:p w14:paraId="33F62E2E" w14:textId="77777777" w:rsidR="0027078C" w:rsidRPr="0027078C" w:rsidRDefault="0027078C" w:rsidP="00BB4822">
      <w:pPr>
        <w:spacing w:after="0"/>
        <w:jc w:val="both"/>
        <w:rPr>
          <w:rFonts w:ascii="Arial" w:hAnsi="Arial" w:cs="Arial"/>
        </w:rPr>
      </w:pPr>
      <w:r w:rsidRPr="0027078C">
        <w:rPr>
          <w:rFonts w:ascii="Arial" w:hAnsi="Arial" w:cs="Arial"/>
        </w:rPr>
        <w:t xml:space="preserve">Pravilnik o proračunskom računovodstvu i Računskom planu – pročišćeni tekst (Narodne novine, </w:t>
      </w:r>
    </w:p>
    <w:p w14:paraId="06566292" w14:textId="77777777" w:rsidR="0027078C" w:rsidRDefault="0027078C" w:rsidP="00BB4822">
      <w:pPr>
        <w:spacing w:after="0"/>
        <w:jc w:val="both"/>
        <w:rPr>
          <w:rFonts w:ascii="Arial" w:hAnsi="Arial" w:cs="Arial"/>
        </w:rPr>
      </w:pPr>
      <w:r w:rsidRPr="0027078C">
        <w:rPr>
          <w:rFonts w:ascii="Arial" w:hAnsi="Arial" w:cs="Arial"/>
        </w:rPr>
        <w:t>br. 158/23 i Pravilnik o izmjenama i dopunama Pravilnika o proračunskom računovodstvu i Računskom planu  NN 154/24)</w:t>
      </w:r>
    </w:p>
    <w:p w14:paraId="30DF52E7" w14:textId="77777777" w:rsidR="006471D0" w:rsidRPr="006471D0" w:rsidRDefault="006471D0" w:rsidP="006471D0">
      <w:pPr>
        <w:rPr>
          <w:rFonts w:ascii="Arial" w:hAnsi="Arial" w:cs="Arial"/>
        </w:rPr>
      </w:pPr>
      <w:r w:rsidRPr="006471D0">
        <w:rPr>
          <w:rFonts w:ascii="Arial" w:hAnsi="Arial" w:cs="Arial"/>
        </w:rPr>
        <w:t xml:space="preserve">Pravilnik o financijskom izvještavanju proračunskog računovodstva NN br:52/25 </w:t>
      </w:r>
    </w:p>
    <w:p w14:paraId="00CD5B66" w14:textId="77777777" w:rsidR="006471D0" w:rsidRPr="0027078C" w:rsidRDefault="006471D0" w:rsidP="00BB4822">
      <w:pPr>
        <w:spacing w:after="0"/>
        <w:jc w:val="both"/>
        <w:rPr>
          <w:rFonts w:ascii="Arial" w:hAnsi="Arial" w:cs="Arial"/>
        </w:rPr>
      </w:pPr>
    </w:p>
    <w:p w14:paraId="1EE76EDF" w14:textId="394698B0" w:rsidR="00190021" w:rsidRPr="002E6344" w:rsidRDefault="00093B66" w:rsidP="00644C13">
      <w:pPr>
        <w:jc w:val="both"/>
        <w:rPr>
          <w:rFonts w:ascii="Arial" w:hAnsi="Arial" w:cs="Arial"/>
          <w:bCs/>
        </w:rPr>
      </w:pPr>
      <w:r w:rsidRPr="002E6344">
        <w:rPr>
          <w:rFonts w:ascii="Arial" w:hAnsi="Arial" w:cs="Arial"/>
          <w:bCs/>
        </w:rPr>
        <w:t>Prihodi</w:t>
      </w:r>
      <w:r w:rsidR="002E6344" w:rsidRPr="002E6344">
        <w:rPr>
          <w:rFonts w:ascii="Arial" w:hAnsi="Arial" w:cs="Arial"/>
          <w:bCs/>
        </w:rPr>
        <w:t xml:space="preserve">/ </w:t>
      </w:r>
      <w:r w:rsidR="00190021" w:rsidRPr="002E6344">
        <w:rPr>
          <w:rFonts w:ascii="Arial" w:hAnsi="Arial" w:cs="Arial"/>
          <w:bCs/>
        </w:rPr>
        <w:t xml:space="preserve">Prihodi </w:t>
      </w:r>
      <w:r w:rsidR="00BB0849">
        <w:rPr>
          <w:rFonts w:ascii="Arial" w:hAnsi="Arial" w:cs="Arial"/>
          <w:bCs/>
        </w:rPr>
        <w:t xml:space="preserve">i primici </w:t>
      </w:r>
      <w:r w:rsidR="00190021" w:rsidRPr="002E6344">
        <w:rPr>
          <w:rFonts w:ascii="Arial" w:hAnsi="Arial" w:cs="Arial"/>
          <w:bCs/>
        </w:rPr>
        <w:t xml:space="preserve">poslovanja </w:t>
      </w:r>
    </w:p>
    <w:p w14:paraId="2F9519BC" w14:textId="0F2E63DB" w:rsidR="00532AD0" w:rsidRPr="00190021" w:rsidRDefault="002E6344" w:rsidP="00A2321A">
      <w:pPr>
        <w:jc w:val="both"/>
        <w:rPr>
          <w:rFonts w:ascii="Arial" w:hAnsi="Arial" w:cs="Arial"/>
        </w:rPr>
      </w:pPr>
      <w:r w:rsidRPr="002E6344">
        <w:rPr>
          <w:rFonts w:ascii="Arial" w:hAnsi="Arial" w:cs="Arial"/>
          <w:b/>
          <w:bCs/>
        </w:rPr>
        <w:t>Račun 6-</w:t>
      </w:r>
      <w:r>
        <w:rPr>
          <w:rFonts w:ascii="Arial" w:hAnsi="Arial" w:cs="Arial"/>
        </w:rPr>
        <w:t xml:space="preserve"> </w:t>
      </w:r>
      <w:r w:rsidR="00532AD0" w:rsidRPr="00190021">
        <w:rPr>
          <w:rFonts w:ascii="Arial" w:hAnsi="Arial" w:cs="Arial"/>
        </w:rPr>
        <w:t xml:space="preserve">Prihodi poslovanja </w:t>
      </w:r>
      <w:r w:rsidR="00190021">
        <w:rPr>
          <w:rFonts w:ascii="Arial" w:hAnsi="Arial" w:cs="Arial"/>
        </w:rPr>
        <w:t xml:space="preserve">iznose </w:t>
      </w:r>
      <w:r w:rsidR="00532AD0" w:rsidRPr="002E6344">
        <w:rPr>
          <w:rFonts w:ascii="Arial" w:hAnsi="Arial" w:cs="Arial"/>
          <w:bCs/>
        </w:rPr>
        <w:t>=</w:t>
      </w:r>
      <w:r w:rsidR="0078736A">
        <w:rPr>
          <w:rFonts w:ascii="Arial" w:hAnsi="Arial" w:cs="Arial"/>
          <w:bCs/>
        </w:rPr>
        <w:t>168.720,32</w:t>
      </w:r>
      <w:r w:rsidR="009F711C">
        <w:rPr>
          <w:rFonts w:ascii="Arial" w:hAnsi="Arial" w:cs="Arial"/>
          <w:bCs/>
        </w:rPr>
        <w:t>€</w:t>
      </w:r>
      <w:r w:rsidR="00190021" w:rsidRPr="00E25D0C">
        <w:rPr>
          <w:rFonts w:ascii="Arial" w:hAnsi="Arial" w:cs="Arial"/>
          <w:bCs/>
        </w:rPr>
        <w:t xml:space="preserve"> </w:t>
      </w:r>
      <w:r w:rsidR="00DA1C81">
        <w:rPr>
          <w:rFonts w:ascii="Arial" w:hAnsi="Arial" w:cs="Arial"/>
          <w:bCs/>
        </w:rPr>
        <w:t xml:space="preserve">, </w:t>
      </w:r>
      <w:r w:rsidR="00093B66">
        <w:rPr>
          <w:rFonts w:ascii="Arial" w:hAnsi="Arial" w:cs="Arial"/>
        </w:rPr>
        <w:t>veća</w:t>
      </w:r>
      <w:r w:rsidR="00190021" w:rsidRPr="00190021">
        <w:rPr>
          <w:rFonts w:ascii="Arial" w:hAnsi="Arial" w:cs="Arial"/>
        </w:rPr>
        <w:t xml:space="preserve"> </w:t>
      </w:r>
      <w:r w:rsidR="0027078C">
        <w:rPr>
          <w:rFonts w:ascii="Arial" w:hAnsi="Arial" w:cs="Arial"/>
        </w:rPr>
        <w:t xml:space="preserve">je </w:t>
      </w:r>
      <w:r w:rsidR="00093B66">
        <w:rPr>
          <w:rFonts w:ascii="Arial" w:hAnsi="Arial" w:cs="Arial"/>
        </w:rPr>
        <w:t>realizacija</w:t>
      </w:r>
      <w:r w:rsidR="00190021" w:rsidRPr="00190021">
        <w:rPr>
          <w:rFonts w:ascii="Arial" w:hAnsi="Arial" w:cs="Arial"/>
        </w:rPr>
        <w:t xml:space="preserve"> u odnosu na prethodnu godinu istog obračunskog razdoblja</w:t>
      </w:r>
      <w:r w:rsidR="003E0A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E0A4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rihod za redovnu djelatnost od nadležnog proračuna </w:t>
      </w:r>
      <w:r w:rsidR="003E0A4E">
        <w:rPr>
          <w:rFonts w:ascii="Arial" w:hAnsi="Arial" w:cs="Arial"/>
        </w:rPr>
        <w:t xml:space="preserve">veći je </w:t>
      </w:r>
      <w:r>
        <w:rPr>
          <w:rFonts w:ascii="Arial" w:hAnsi="Arial" w:cs="Arial"/>
        </w:rPr>
        <w:t xml:space="preserve">radi povećanja osnovice </w:t>
      </w:r>
      <w:r w:rsidR="00B148C7">
        <w:rPr>
          <w:rFonts w:ascii="Arial" w:hAnsi="Arial" w:cs="Arial"/>
        </w:rPr>
        <w:t xml:space="preserve">za obračun plaće u skladu sa povećanjem zakonske minimalne plaće i Odluke o povećanju osnovice za obračun plaća. </w:t>
      </w:r>
      <w:r w:rsidR="003E0A4E">
        <w:rPr>
          <w:rFonts w:ascii="Arial" w:hAnsi="Arial" w:cs="Arial"/>
        </w:rPr>
        <w:t xml:space="preserve">Veći je prihod iz tekućih donacija Ministarstva </w:t>
      </w:r>
      <w:r w:rsidR="009F711C">
        <w:rPr>
          <w:rFonts w:ascii="Arial" w:hAnsi="Arial" w:cs="Arial"/>
        </w:rPr>
        <w:t xml:space="preserve">znanosti i </w:t>
      </w:r>
      <w:r w:rsidR="003E0A4E">
        <w:rPr>
          <w:rFonts w:ascii="Arial" w:hAnsi="Arial" w:cs="Arial"/>
        </w:rPr>
        <w:t>obrazovanja</w:t>
      </w:r>
      <w:r w:rsidR="009F711C">
        <w:rPr>
          <w:rFonts w:ascii="Arial" w:hAnsi="Arial" w:cs="Arial"/>
        </w:rPr>
        <w:t xml:space="preserve"> (</w:t>
      </w:r>
      <w:r w:rsidR="009F711C" w:rsidRPr="009F711C">
        <w:rPr>
          <w:rFonts w:ascii="Arial" w:hAnsi="Arial" w:cs="Arial"/>
          <w:i/>
        </w:rPr>
        <w:t>u daljnjem tekstu MZO</w:t>
      </w:r>
      <w:r w:rsidR="009F711C">
        <w:rPr>
          <w:rFonts w:ascii="Arial" w:hAnsi="Arial" w:cs="Arial"/>
        </w:rPr>
        <w:t>)</w:t>
      </w:r>
      <w:r w:rsidR="003E0A4E">
        <w:rPr>
          <w:rFonts w:ascii="Arial" w:hAnsi="Arial" w:cs="Arial"/>
        </w:rPr>
        <w:t xml:space="preserve"> , </w:t>
      </w:r>
      <w:r w:rsidR="00A2321A" w:rsidRPr="00A2321A">
        <w:rPr>
          <w:rFonts w:ascii="Arial" w:hAnsi="Arial" w:cs="Arial"/>
        </w:rPr>
        <w:t xml:space="preserve">prema Uredbi o kriterijima i mjerilima za utvrđivanje sredstava za fiskalnu održivost dječjih vrtića (NN 109/23) i Odluci o dodjeli sredstava za fiskalnu održivost dječjih vrtića za pedagošku </w:t>
      </w:r>
      <w:r w:rsidR="00A2321A">
        <w:rPr>
          <w:rFonts w:ascii="Arial" w:hAnsi="Arial" w:cs="Arial"/>
        </w:rPr>
        <w:t>godinu 2023./2024. (NN 155/23)</w:t>
      </w:r>
    </w:p>
    <w:p w14:paraId="5AA52343" w14:textId="4A2411C2" w:rsidR="0027373E" w:rsidRPr="002457F1" w:rsidRDefault="00E25D0C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2457F1">
        <w:rPr>
          <w:rFonts w:ascii="Arial" w:hAnsi="Arial" w:cs="Arial"/>
          <w:b/>
          <w:bCs/>
        </w:rPr>
        <w:t>R</w:t>
      </w:r>
      <w:r w:rsidR="0081155D" w:rsidRPr="002457F1">
        <w:rPr>
          <w:rFonts w:ascii="Arial" w:hAnsi="Arial" w:cs="Arial"/>
          <w:b/>
          <w:bCs/>
        </w:rPr>
        <w:t xml:space="preserve">ačuni skupine 65- </w:t>
      </w:r>
      <w:r w:rsidR="0027373E" w:rsidRPr="002457F1">
        <w:rPr>
          <w:rFonts w:ascii="Arial" w:hAnsi="Arial" w:cs="Arial"/>
          <w:b/>
          <w:bCs/>
        </w:rPr>
        <w:t xml:space="preserve">Prihodi od upravnih i administrativnih pristojbi </w:t>
      </w:r>
      <w:r w:rsidR="0027373E" w:rsidRPr="003E0A4E">
        <w:rPr>
          <w:rFonts w:ascii="Arial" w:hAnsi="Arial" w:cs="Arial"/>
        </w:rPr>
        <w:t>=</w:t>
      </w:r>
      <w:r w:rsidR="0078736A">
        <w:rPr>
          <w:rFonts w:ascii="Arial" w:hAnsi="Arial" w:cs="Arial"/>
        </w:rPr>
        <w:t>2.263,42</w:t>
      </w:r>
      <w:r w:rsidR="003E0A4E">
        <w:rPr>
          <w:rFonts w:ascii="Arial" w:hAnsi="Arial" w:cs="Arial"/>
        </w:rPr>
        <w:t>€</w:t>
      </w:r>
    </w:p>
    <w:p w14:paraId="0C46B748" w14:textId="75F1EE6D" w:rsidR="0027373E" w:rsidRDefault="000B408E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0A4E" w:rsidRPr="003E0A4E">
        <w:rPr>
          <w:rFonts w:ascii="Arial" w:hAnsi="Arial" w:cs="Arial"/>
        </w:rPr>
        <w:t>rihod</w:t>
      </w:r>
      <w:r>
        <w:rPr>
          <w:rFonts w:ascii="Arial" w:hAnsi="Arial" w:cs="Arial"/>
        </w:rPr>
        <w:t xml:space="preserve"> </w:t>
      </w:r>
      <w:r w:rsidR="003E0A4E" w:rsidRPr="003E0A4E">
        <w:rPr>
          <w:rFonts w:ascii="Arial" w:hAnsi="Arial" w:cs="Arial"/>
        </w:rPr>
        <w:t xml:space="preserve">od sufinanciranja roditelja </w:t>
      </w:r>
      <w:r>
        <w:rPr>
          <w:rFonts w:ascii="Arial" w:hAnsi="Arial" w:cs="Arial"/>
        </w:rPr>
        <w:t xml:space="preserve">za </w:t>
      </w:r>
      <w:r w:rsidR="003E0A4E" w:rsidRPr="003E0A4E">
        <w:rPr>
          <w:rFonts w:ascii="Arial" w:hAnsi="Arial" w:cs="Arial"/>
        </w:rPr>
        <w:t>bora</w:t>
      </w:r>
      <w:r>
        <w:rPr>
          <w:rFonts w:ascii="Arial" w:hAnsi="Arial" w:cs="Arial"/>
        </w:rPr>
        <w:t>vak</w:t>
      </w:r>
      <w:r w:rsidR="003E0A4E" w:rsidRPr="003E0A4E">
        <w:rPr>
          <w:rFonts w:ascii="Arial" w:hAnsi="Arial" w:cs="Arial"/>
        </w:rPr>
        <w:t xml:space="preserve"> djece u vrtiću </w:t>
      </w:r>
      <w:r w:rsidR="00C9746B">
        <w:rPr>
          <w:rFonts w:ascii="Arial" w:hAnsi="Arial" w:cs="Arial"/>
        </w:rPr>
        <w:t xml:space="preserve">- </w:t>
      </w:r>
      <w:r w:rsidR="0027078C">
        <w:rPr>
          <w:rFonts w:ascii="Arial" w:hAnsi="Arial" w:cs="Arial"/>
        </w:rPr>
        <w:t>manja</w:t>
      </w:r>
      <w:r w:rsidR="00CA738C">
        <w:rPr>
          <w:rFonts w:ascii="Arial" w:hAnsi="Arial" w:cs="Arial"/>
        </w:rPr>
        <w:t xml:space="preserve"> je realiz</w:t>
      </w:r>
      <w:r w:rsidR="0027078C">
        <w:rPr>
          <w:rFonts w:ascii="Arial" w:hAnsi="Arial" w:cs="Arial"/>
        </w:rPr>
        <w:t xml:space="preserve">acija </w:t>
      </w:r>
      <w:r>
        <w:rPr>
          <w:rFonts w:ascii="Arial" w:hAnsi="Arial" w:cs="Arial"/>
        </w:rPr>
        <w:t xml:space="preserve"> u odnosu na prethodnu godinu </w:t>
      </w:r>
      <w:r w:rsidR="003E0A4E" w:rsidRPr="003E0A4E">
        <w:rPr>
          <w:rFonts w:ascii="Arial" w:hAnsi="Arial" w:cs="Arial"/>
        </w:rPr>
        <w:t xml:space="preserve"> iz razloga </w:t>
      </w:r>
      <w:r w:rsidR="0027078C">
        <w:rPr>
          <w:rFonts w:ascii="Arial" w:hAnsi="Arial" w:cs="Arial"/>
        </w:rPr>
        <w:t xml:space="preserve">što </w:t>
      </w:r>
      <w:r w:rsidR="00C9746B">
        <w:rPr>
          <w:rFonts w:ascii="Arial" w:hAnsi="Arial" w:cs="Arial"/>
        </w:rPr>
        <w:t xml:space="preserve">je u prosincu 2024.g. Općinsko vijeće donijelo odluku da se za djecu sa područja Općine Lipovljani ne plaća boravak u vrtiću , odnosno besplatan je , dok </w:t>
      </w:r>
      <w:r w:rsidR="0078736A">
        <w:rPr>
          <w:rFonts w:ascii="Arial" w:hAnsi="Arial" w:cs="Arial"/>
        </w:rPr>
        <w:t xml:space="preserve">se </w:t>
      </w:r>
      <w:r w:rsidR="00C9746B">
        <w:rPr>
          <w:rFonts w:ascii="Arial" w:hAnsi="Arial" w:cs="Arial"/>
        </w:rPr>
        <w:t xml:space="preserve">za djecu izvan općine </w:t>
      </w:r>
      <w:r w:rsidR="0078736A">
        <w:rPr>
          <w:rFonts w:ascii="Arial" w:hAnsi="Arial" w:cs="Arial"/>
        </w:rPr>
        <w:t xml:space="preserve">Lipovljani </w:t>
      </w:r>
      <w:r w:rsidR="00C9746B">
        <w:rPr>
          <w:rFonts w:ascii="Arial" w:hAnsi="Arial" w:cs="Arial"/>
        </w:rPr>
        <w:t>plaća poludnevni i dnevni boravak</w:t>
      </w:r>
      <w:r w:rsidR="00D65382">
        <w:rPr>
          <w:rFonts w:ascii="Arial" w:hAnsi="Arial" w:cs="Arial"/>
        </w:rPr>
        <w:t xml:space="preserve"> u vrtiću.</w:t>
      </w:r>
    </w:p>
    <w:p w14:paraId="54F80FAC" w14:textId="77777777" w:rsidR="00C9746B" w:rsidRDefault="00C9746B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</w:p>
    <w:p w14:paraId="0FF1F4E4" w14:textId="56AEF445" w:rsidR="0027373E" w:rsidRPr="002457F1" w:rsidRDefault="005115A8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Računi skupine 67 -P</w:t>
      </w:r>
      <w:r w:rsidR="0027373E" w:rsidRPr="002457F1">
        <w:rPr>
          <w:rFonts w:ascii="Arial" w:hAnsi="Arial" w:cs="Arial"/>
          <w:b/>
          <w:bCs/>
        </w:rPr>
        <w:t>rihodi iz nadležnog proračuna</w:t>
      </w:r>
      <w:r>
        <w:rPr>
          <w:rFonts w:ascii="Arial" w:hAnsi="Arial" w:cs="Arial"/>
          <w:b/>
          <w:bCs/>
        </w:rPr>
        <w:t xml:space="preserve"> </w:t>
      </w:r>
      <w:r w:rsidR="00190021" w:rsidRPr="00E37D1A">
        <w:rPr>
          <w:rFonts w:ascii="Arial" w:hAnsi="Arial" w:cs="Arial"/>
        </w:rPr>
        <w:t>=</w:t>
      </w:r>
      <w:r w:rsidR="00BD4CA4">
        <w:rPr>
          <w:rFonts w:ascii="Arial" w:hAnsi="Arial" w:cs="Arial"/>
        </w:rPr>
        <w:t>166.456,12</w:t>
      </w:r>
      <w:r w:rsidR="00E37D1A">
        <w:rPr>
          <w:rFonts w:ascii="Arial" w:hAnsi="Arial" w:cs="Arial"/>
        </w:rPr>
        <w:t>€</w:t>
      </w:r>
      <w:r w:rsidR="0027373E" w:rsidRPr="002457F1">
        <w:rPr>
          <w:rFonts w:ascii="Arial" w:hAnsi="Arial" w:cs="Arial"/>
          <w:b/>
          <w:bCs/>
        </w:rPr>
        <w:t xml:space="preserve"> </w:t>
      </w:r>
    </w:p>
    <w:p w14:paraId="207DAF8A" w14:textId="34B651C8" w:rsidR="004C083E" w:rsidRDefault="00190021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iz nadležnog proračuna za financiranje rashoda poslovanja su </w:t>
      </w:r>
      <w:r w:rsidR="004B5325">
        <w:rPr>
          <w:rFonts w:ascii="Arial" w:hAnsi="Arial" w:cs="Arial"/>
        </w:rPr>
        <w:t xml:space="preserve">puno </w:t>
      </w:r>
      <w:r w:rsidR="001E5113">
        <w:rPr>
          <w:rFonts w:ascii="Arial" w:hAnsi="Arial" w:cs="Arial"/>
        </w:rPr>
        <w:t>veći</w:t>
      </w:r>
      <w:r w:rsidR="00C61DCA">
        <w:rPr>
          <w:rFonts w:ascii="Arial" w:hAnsi="Arial" w:cs="Arial"/>
        </w:rPr>
        <w:t xml:space="preserve"> </w:t>
      </w:r>
      <w:r w:rsidR="00393A42">
        <w:rPr>
          <w:rFonts w:ascii="Arial" w:hAnsi="Arial" w:cs="Arial"/>
        </w:rPr>
        <w:t>radi</w:t>
      </w:r>
      <w:r w:rsidR="001E5113">
        <w:rPr>
          <w:rFonts w:ascii="Arial" w:hAnsi="Arial" w:cs="Arial"/>
        </w:rPr>
        <w:t xml:space="preserve"> </w:t>
      </w:r>
      <w:r w:rsidR="00662D27">
        <w:rPr>
          <w:rFonts w:ascii="Arial" w:hAnsi="Arial" w:cs="Arial"/>
        </w:rPr>
        <w:t>povećanja koeficijenata</w:t>
      </w:r>
      <w:r w:rsidR="004B5325">
        <w:rPr>
          <w:rFonts w:ascii="Arial" w:hAnsi="Arial" w:cs="Arial"/>
        </w:rPr>
        <w:t xml:space="preserve"> i osnovice </w:t>
      </w:r>
      <w:r w:rsidR="00662D27">
        <w:rPr>
          <w:rFonts w:ascii="Arial" w:hAnsi="Arial" w:cs="Arial"/>
        </w:rPr>
        <w:t xml:space="preserve"> za obračun plaće </w:t>
      </w:r>
      <w:r w:rsidR="00B104A5">
        <w:rPr>
          <w:rFonts w:ascii="Arial" w:hAnsi="Arial" w:cs="Arial"/>
        </w:rPr>
        <w:t xml:space="preserve">. </w:t>
      </w:r>
      <w:r w:rsidR="00BD6045">
        <w:rPr>
          <w:rFonts w:ascii="Arial" w:hAnsi="Arial" w:cs="Arial"/>
        </w:rPr>
        <w:t xml:space="preserve">Nadalje pored sredstava iz općinskog </w:t>
      </w:r>
      <w:r w:rsidR="00662D27">
        <w:rPr>
          <w:rFonts w:ascii="Arial" w:hAnsi="Arial" w:cs="Arial"/>
        </w:rPr>
        <w:t xml:space="preserve">proračuna </w:t>
      </w:r>
      <w:r w:rsidR="004B5325">
        <w:rPr>
          <w:rFonts w:ascii="Arial" w:hAnsi="Arial" w:cs="Arial"/>
        </w:rPr>
        <w:t>-</w:t>
      </w:r>
      <w:r w:rsidR="00BD6045">
        <w:rPr>
          <w:rFonts w:ascii="Arial" w:hAnsi="Arial" w:cs="Arial"/>
        </w:rPr>
        <w:t xml:space="preserve"> knjižena</w:t>
      </w:r>
      <w:r w:rsidR="00662D27">
        <w:rPr>
          <w:rFonts w:ascii="Arial" w:hAnsi="Arial" w:cs="Arial"/>
        </w:rPr>
        <w:t xml:space="preserve"> su sredstva</w:t>
      </w:r>
      <w:r w:rsidR="00BD6045">
        <w:rPr>
          <w:rFonts w:ascii="Arial" w:hAnsi="Arial" w:cs="Arial"/>
        </w:rPr>
        <w:t xml:space="preserve"> </w:t>
      </w:r>
      <w:r w:rsidR="007C3888">
        <w:rPr>
          <w:rFonts w:ascii="Arial" w:hAnsi="Arial" w:cs="Arial"/>
        </w:rPr>
        <w:t xml:space="preserve">od </w:t>
      </w:r>
      <w:r w:rsidR="00BD6045">
        <w:rPr>
          <w:rFonts w:ascii="Arial" w:hAnsi="Arial" w:cs="Arial"/>
        </w:rPr>
        <w:t xml:space="preserve">MZO </w:t>
      </w:r>
      <w:r w:rsidR="007C3888" w:rsidRPr="007C3888">
        <w:rPr>
          <w:rFonts w:ascii="Arial" w:hAnsi="Arial" w:cs="Arial"/>
        </w:rPr>
        <w:t>prema Uredbi o kriterijima i mjerilima za utvrđivanje sredstava za fiskalnu održivost dječjih vrtića (NN 109/23) i Odluci o dodjeli sredstava za fiskalnu održivost dječjih vrtića za pedagošku godinu 2023./2024. (NN 155/23</w:t>
      </w:r>
      <w:r w:rsidR="00662D27">
        <w:rPr>
          <w:rFonts w:ascii="Arial" w:hAnsi="Arial" w:cs="Arial"/>
        </w:rPr>
        <w:t xml:space="preserve">) doznačen je iznos od </w:t>
      </w:r>
      <w:r w:rsidR="003A09AE">
        <w:rPr>
          <w:rFonts w:ascii="Arial" w:hAnsi="Arial" w:cs="Arial"/>
        </w:rPr>
        <w:t>49.362,00</w:t>
      </w:r>
      <w:r w:rsidR="007C3888">
        <w:rPr>
          <w:rFonts w:ascii="Arial" w:hAnsi="Arial" w:cs="Arial"/>
        </w:rPr>
        <w:t xml:space="preserve">€ iz općinskog proračuna za rashode za zaposlene i materijalne rashode sukladno planiranim pozicijama </w:t>
      </w:r>
    </w:p>
    <w:p w14:paraId="293518B4" w14:textId="77777777" w:rsidR="00786059" w:rsidRDefault="00786059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10C3FCA1" w14:textId="2009A14E" w:rsidR="004C083E" w:rsidRPr="008E3307" w:rsidRDefault="004C083E" w:rsidP="00644C13">
      <w:pPr>
        <w:pStyle w:val="Odlomakpopisa"/>
        <w:ind w:left="0"/>
        <w:jc w:val="both"/>
        <w:rPr>
          <w:rFonts w:ascii="Arial" w:hAnsi="Arial" w:cs="Arial"/>
          <w:bCs/>
        </w:rPr>
      </w:pPr>
      <w:r w:rsidRPr="004C083E">
        <w:rPr>
          <w:rFonts w:ascii="Arial" w:hAnsi="Arial" w:cs="Arial"/>
          <w:b/>
        </w:rPr>
        <w:t xml:space="preserve">Rashodi poslovanja </w:t>
      </w:r>
      <w:r w:rsidR="00BB0849">
        <w:rPr>
          <w:rFonts w:ascii="Arial" w:hAnsi="Arial" w:cs="Arial"/>
          <w:b/>
        </w:rPr>
        <w:t>/</w:t>
      </w:r>
      <w:r w:rsidR="00A47D90">
        <w:rPr>
          <w:rFonts w:ascii="Arial" w:hAnsi="Arial" w:cs="Arial"/>
          <w:b/>
        </w:rPr>
        <w:t xml:space="preserve">Rashodi poslovanja </w:t>
      </w:r>
      <w:r>
        <w:rPr>
          <w:rFonts w:ascii="Arial" w:hAnsi="Arial" w:cs="Arial"/>
        </w:rPr>
        <w:t xml:space="preserve">su izvršeni u iznosu od </w:t>
      </w:r>
      <w:r w:rsidRPr="008E3307">
        <w:rPr>
          <w:rFonts w:ascii="Arial" w:hAnsi="Arial" w:cs="Arial"/>
          <w:bCs/>
        </w:rPr>
        <w:t>=</w:t>
      </w:r>
      <w:r w:rsidR="00BD4CA4">
        <w:rPr>
          <w:rFonts w:ascii="Arial" w:hAnsi="Arial" w:cs="Arial"/>
          <w:bCs/>
        </w:rPr>
        <w:t>195.361,94</w:t>
      </w:r>
      <w:r w:rsidR="008E3307" w:rsidRPr="008E3307">
        <w:rPr>
          <w:rFonts w:ascii="Arial" w:hAnsi="Arial" w:cs="Arial"/>
          <w:bCs/>
        </w:rPr>
        <w:t>€</w:t>
      </w:r>
    </w:p>
    <w:p w14:paraId="3EBCF325" w14:textId="5546764F" w:rsidR="004C052F" w:rsidRDefault="00E25D0C" w:rsidP="00644C13">
      <w:pPr>
        <w:pStyle w:val="Odlomakpopisa"/>
        <w:ind w:left="0"/>
        <w:jc w:val="both"/>
        <w:rPr>
          <w:rFonts w:ascii="Arial" w:hAnsi="Arial" w:cs="Arial"/>
        </w:rPr>
      </w:pPr>
      <w:r w:rsidRPr="0059733B">
        <w:rPr>
          <w:rFonts w:ascii="Arial" w:hAnsi="Arial" w:cs="Arial"/>
          <w:b/>
        </w:rPr>
        <w:t>R</w:t>
      </w:r>
      <w:r w:rsidR="00A47D90" w:rsidRPr="0059733B">
        <w:rPr>
          <w:rFonts w:ascii="Arial" w:hAnsi="Arial" w:cs="Arial"/>
          <w:b/>
        </w:rPr>
        <w:t>ačuni i skupine 31</w:t>
      </w:r>
      <w:r w:rsidR="00A47D90">
        <w:rPr>
          <w:rFonts w:ascii="Arial" w:hAnsi="Arial" w:cs="Arial"/>
          <w:b/>
        </w:rPr>
        <w:t>-</w:t>
      </w:r>
      <w:r w:rsidR="00786059">
        <w:rPr>
          <w:rFonts w:ascii="Arial" w:hAnsi="Arial" w:cs="Arial"/>
          <w:b/>
        </w:rPr>
        <w:t xml:space="preserve"> </w:t>
      </w:r>
      <w:r w:rsidR="004C083E">
        <w:rPr>
          <w:rFonts w:ascii="Arial" w:hAnsi="Arial" w:cs="Arial"/>
        </w:rPr>
        <w:t xml:space="preserve"> </w:t>
      </w:r>
      <w:r w:rsidR="004C083E" w:rsidRPr="00894735">
        <w:rPr>
          <w:rFonts w:ascii="Arial" w:hAnsi="Arial" w:cs="Arial"/>
          <w:b/>
          <w:bCs/>
        </w:rPr>
        <w:t>Rashodi za zaposlene</w:t>
      </w:r>
      <w:r w:rsidR="004C083E">
        <w:rPr>
          <w:rFonts w:ascii="Arial" w:hAnsi="Arial" w:cs="Arial"/>
        </w:rPr>
        <w:t xml:space="preserve"> u iznosu od =</w:t>
      </w:r>
      <w:r w:rsidR="00BD4CA4">
        <w:rPr>
          <w:rFonts w:ascii="Arial" w:hAnsi="Arial" w:cs="Arial"/>
        </w:rPr>
        <w:t>174.049,41</w:t>
      </w:r>
      <w:r w:rsidR="00C430E0">
        <w:rPr>
          <w:rFonts w:ascii="Arial" w:hAnsi="Arial" w:cs="Arial"/>
        </w:rPr>
        <w:t>€</w:t>
      </w:r>
      <w:r w:rsidR="004C083E">
        <w:rPr>
          <w:rFonts w:ascii="Arial" w:hAnsi="Arial" w:cs="Arial"/>
        </w:rPr>
        <w:t xml:space="preserve"> </w:t>
      </w:r>
    </w:p>
    <w:p w14:paraId="49BF6881" w14:textId="35CB6E01" w:rsidR="004C083E" w:rsidRDefault="004C052F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6711E">
        <w:rPr>
          <w:rFonts w:ascii="Arial" w:hAnsi="Arial" w:cs="Arial"/>
        </w:rPr>
        <w:t xml:space="preserve">aposlenih </w:t>
      </w:r>
      <w:r>
        <w:rPr>
          <w:rFonts w:ascii="Arial" w:hAnsi="Arial" w:cs="Arial"/>
        </w:rPr>
        <w:t xml:space="preserve">osoba </w:t>
      </w:r>
      <w:r w:rsidR="00BD4CA4">
        <w:rPr>
          <w:rFonts w:ascii="Arial" w:hAnsi="Arial" w:cs="Arial"/>
        </w:rPr>
        <w:t xml:space="preserve">bilo </w:t>
      </w:r>
      <w:r>
        <w:rPr>
          <w:rFonts w:ascii="Arial" w:hAnsi="Arial" w:cs="Arial"/>
        </w:rPr>
        <w:t xml:space="preserve">je 10, </w:t>
      </w:r>
      <w:r w:rsidR="00C430E0">
        <w:rPr>
          <w:rFonts w:ascii="Arial" w:hAnsi="Arial" w:cs="Arial"/>
        </w:rPr>
        <w:t xml:space="preserve">od čega </w:t>
      </w:r>
      <w:r>
        <w:rPr>
          <w:rFonts w:ascii="Arial" w:hAnsi="Arial" w:cs="Arial"/>
        </w:rPr>
        <w:t xml:space="preserve">jedna  </w:t>
      </w:r>
      <w:r w:rsidR="00C430E0">
        <w:rPr>
          <w:rFonts w:ascii="Arial" w:hAnsi="Arial" w:cs="Arial"/>
        </w:rPr>
        <w:t>zaposlen</w:t>
      </w:r>
      <w:r>
        <w:rPr>
          <w:rFonts w:ascii="Arial" w:hAnsi="Arial" w:cs="Arial"/>
        </w:rPr>
        <w:t>a</w:t>
      </w:r>
      <w:r w:rsidR="00C430E0">
        <w:rPr>
          <w:rFonts w:ascii="Arial" w:hAnsi="Arial" w:cs="Arial"/>
        </w:rPr>
        <w:t xml:space="preserve"> </w:t>
      </w:r>
      <w:r w:rsidR="00121C2F">
        <w:rPr>
          <w:rFonts w:ascii="Arial" w:hAnsi="Arial" w:cs="Arial"/>
        </w:rPr>
        <w:t xml:space="preserve">na </w:t>
      </w:r>
      <w:r w:rsidR="00C430E0">
        <w:rPr>
          <w:rFonts w:ascii="Arial" w:hAnsi="Arial" w:cs="Arial"/>
        </w:rPr>
        <w:t>određeno vrijeme</w:t>
      </w:r>
      <w:r w:rsidR="00BD4CA4">
        <w:rPr>
          <w:rFonts w:ascii="Arial" w:hAnsi="Arial" w:cs="Arial"/>
        </w:rPr>
        <w:t xml:space="preserve"> a jedna odgajateljica je dala otkaz</w:t>
      </w:r>
      <w:r w:rsidR="00C430E0">
        <w:rPr>
          <w:rFonts w:ascii="Arial" w:hAnsi="Arial" w:cs="Arial"/>
        </w:rPr>
        <w:t>.</w:t>
      </w:r>
      <w:r w:rsidR="00E62EB8">
        <w:rPr>
          <w:rFonts w:ascii="Arial" w:hAnsi="Arial" w:cs="Arial"/>
        </w:rPr>
        <w:t xml:space="preserve"> P</w:t>
      </w:r>
      <w:r w:rsidR="00454BAA">
        <w:rPr>
          <w:rFonts w:ascii="Arial" w:hAnsi="Arial" w:cs="Arial"/>
        </w:rPr>
        <w:t xml:space="preserve">ovećanje koeficijenata </w:t>
      </w:r>
      <w:r>
        <w:rPr>
          <w:rFonts w:ascii="Arial" w:hAnsi="Arial" w:cs="Arial"/>
        </w:rPr>
        <w:t xml:space="preserve">i osnovice </w:t>
      </w:r>
      <w:r w:rsidR="00454BAA">
        <w:rPr>
          <w:rFonts w:ascii="Arial" w:hAnsi="Arial" w:cs="Arial"/>
        </w:rPr>
        <w:t xml:space="preserve">zaposlenima </w:t>
      </w:r>
      <w:r w:rsidR="001A3309">
        <w:rPr>
          <w:rFonts w:ascii="Arial" w:hAnsi="Arial" w:cs="Arial"/>
        </w:rPr>
        <w:t xml:space="preserve">za obračun plaća utječe na </w:t>
      </w:r>
      <w:r w:rsidR="0059733B">
        <w:rPr>
          <w:rFonts w:ascii="Arial" w:hAnsi="Arial" w:cs="Arial"/>
        </w:rPr>
        <w:t xml:space="preserve">veći </w:t>
      </w:r>
      <w:r w:rsidR="00E62EB8">
        <w:rPr>
          <w:rFonts w:ascii="Arial" w:hAnsi="Arial" w:cs="Arial"/>
        </w:rPr>
        <w:t>indeks</w:t>
      </w:r>
      <w:r w:rsidR="001A3309">
        <w:rPr>
          <w:rFonts w:ascii="Arial" w:hAnsi="Arial" w:cs="Arial"/>
        </w:rPr>
        <w:t xml:space="preserve"> pokazatel</w:t>
      </w:r>
      <w:r w:rsidR="009F2CC4">
        <w:rPr>
          <w:rFonts w:ascii="Arial" w:hAnsi="Arial" w:cs="Arial"/>
        </w:rPr>
        <w:t>ja u odnosu na prethodnu godinu.</w:t>
      </w:r>
    </w:p>
    <w:p w14:paraId="25220ACE" w14:textId="0B8F0AE0" w:rsidR="004C052F" w:rsidRDefault="004C052F" w:rsidP="00644C13">
      <w:pPr>
        <w:pStyle w:val="Odlomakpopisa"/>
        <w:ind w:left="0"/>
        <w:jc w:val="both"/>
        <w:rPr>
          <w:rFonts w:ascii="Arial" w:hAnsi="Arial" w:cs="Arial"/>
        </w:rPr>
      </w:pPr>
      <w:r w:rsidRPr="004C052F">
        <w:rPr>
          <w:rFonts w:ascii="Arial" w:hAnsi="Arial" w:cs="Arial"/>
        </w:rPr>
        <w:t>Promjena je kod knjiženja doprinosa za mirovinsko osiguranje jer se prethodne godine greškom knjižilo na konto 3131 i sada je to ispravljeno. Isto tako je promjena kod knjiženja u smislu da se plaća za mjesec ožujak knjižila sa 31.3.2025.g. a isplata je bila u mjesecu travnju , zapravo su se knjižile 4 plaće</w:t>
      </w:r>
      <w:r w:rsidR="00BD4CA4">
        <w:rPr>
          <w:rFonts w:ascii="Arial" w:hAnsi="Arial" w:cs="Arial"/>
        </w:rPr>
        <w:t xml:space="preserve"> kako bi se u tekućoj godini balansirali u knjiženju rashodi u mjesecu za mjesec</w:t>
      </w:r>
      <w:r w:rsidR="007301A4">
        <w:rPr>
          <w:rFonts w:ascii="Arial" w:hAnsi="Arial" w:cs="Arial"/>
        </w:rPr>
        <w:t xml:space="preserve"> a ne kao prethodnih godina kada se plaća knjižila u mjesecu u kojem je isplaćena. </w:t>
      </w:r>
    </w:p>
    <w:p w14:paraId="0E946859" w14:textId="33855835" w:rsidR="004C083E" w:rsidRDefault="004C083E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Doprinosi na plaće </w:t>
      </w:r>
      <w:r w:rsidR="00E62EB8">
        <w:rPr>
          <w:rFonts w:ascii="Arial" w:hAnsi="Arial" w:cs="Arial"/>
        </w:rPr>
        <w:t>311-</w:t>
      </w:r>
      <w:r w:rsidR="00C430E0">
        <w:rPr>
          <w:rFonts w:ascii="Arial" w:hAnsi="Arial" w:cs="Arial"/>
        </w:rPr>
        <w:t xml:space="preserve"> sve </w:t>
      </w:r>
      <w:r w:rsidR="00A47D90">
        <w:rPr>
          <w:rFonts w:ascii="Arial" w:hAnsi="Arial" w:cs="Arial"/>
        </w:rPr>
        <w:t xml:space="preserve">sukladno </w:t>
      </w:r>
      <w:r w:rsidR="00E62EB8">
        <w:rPr>
          <w:rFonts w:ascii="Arial" w:hAnsi="Arial" w:cs="Arial"/>
        </w:rPr>
        <w:t xml:space="preserve">povećanoj </w:t>
      </w:r>
      <w:r w:rsidR="00A47D90">
        <w:rPr>
          <w:rFonts w:ascii="Arial" w:hAnsi="Arial" w:cs="Arial"/>
        </w:rPr>
        <w:t xml:space="preserve">osnovici </w:t>
      </w:r>
      <w:r w:rsidR="001A3309">
        <w:rPr>
          <w:rFonts w:ascii="Arial" w:hAnsi="Arial" w:cs="Arial"/>
        </w:rPr>
        <w:t xml:space="preserve">i broju zaposlenih </w:t>
      </w:r>
      <w:r w:rsidR="004C052F">
        <w:rPr>
          <w:rFonts w:ascii="Arial" w:hAnsi="Arial" w:cs="Arial"/>
        </w:rPr>
        <w:t xml:space="preserve">za </w:t>
      </w:r>
      <w:r w:rsidR="00AA5546">
        <w:rPr>
          <w:rFonts w:ascii="Arial" w:hAnsi="Arial" w:cs="Arial"/>
        </w:rPr>
        <w:t xml:space="preserve">knjižene </w:t>
      </w:r>
      <w:r w:rsidR="004C052F">
        <w:rPr>
          <w:rFonts w:ascii="Arial" w:hAnsi="Arial" w:cs="Arial"/>
        </w:rPr>
        <w:t xml:space="preserve"> plaće</w:t>
      </w:r>
      <w:r w:rsidR="00AA5546">
        <w:rPr>
          <w:rFonts w:ascii="Arial" w:hAnsi="Arial" w:cs="Arial"/>
        </w:rPr>
        <w:t xml:space="preserve"> u </w:t>
      </w:r>
      <w:r w:rsidR="00492320">
        <w:rPr>
          <w:rFonts w:ascii="Arial" w:hAnsi="Arial" w:cs="Arial"/>
        </w:rPr>
        <w:t xml:space="preserve">polugodištu </w:t>
      </w:r>
    </w:p>
    <w:p w14:paraId="12C6BFC9" w14:textId="614529CE" w:rsidR="00492320" w:rsidRDefault="00804273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Ostali rashodi za zaposlene –Knjižen je regres za godišnji odmor , razlika je u odnosu na prethodnu godinu jer se isti knjižio u mjesecu srpnju .</w:t>
      </w:r>
    </w:p>
    <w:p w14:paraId="4CA7FEF3" w14:textId="77777777" w:rsidR="00AA5546" w:rsidRDefault="00AA5546" w:rsidP="00644C13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60F9B42D" w14:textId="77777777" w:rsidR="00816D31" w:rsidRDefault="00816D31" w:rsidP="00644C13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279162A0" w14:textId="77777777" w:rsidR="00816D31" w:rsidRDefault="00816D31" w:rsidP="00644C13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6E73CA8A" w14:textId="668215F6" w:rsidR="004C083E" w:rsidRDefault="00894735" w:rsidP="00644C13">
      <w:pPr>
        <w:pStyle w:val="Odlomakpopisa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</w:t>
      </w:r>
      <w:r w:rsidR="00CE00FC" w:rsidRPr="00894735">
        <w:rPr>
          <w:rFonts w:ascii="Arial" w:hAnsi="Arial" w:cs="Arial"/>
          <w:b/>
        </w:rPr>
        <w:t>ačuni skupine 32-</w:t>
      </w:r>
      <w:r>
        <w:rPr>
          <w:rFonts w:ascii="Arial" w:hAnsi="Arial" w:cs="Arial"/>
          <w:b/>
        </w:rPr>
        <w:t>Materijalni rashodi</w:t>
      </w:r>
      <w:r w:rsidR="00CE00FC" w:rsidRPr="00E25D0C">
        <w:rPr>
          <w:rFonts w:ascii="Arial" w:hAnsi="Arial" w:cs="Arial"/>
          <w:bCs/>
        </w:rPr>
        <w:t xml:space="preserve"> </w:t>
      </w:r>
      <w:r w:rsidR="004C083E" w:rsidRPr="00E25D0C">
        <w:rPr>
          <w:rFonts w:ascii="Arial" w:hAnsi="Arial" w:cs="Arial"/>
          <w:bCs/>
        </w:rPr>
        <w:t xml:space="preserve"> </w:t>
      </w:r>
      <w:r w:rsidR="00267787" w:rsidRPr="00E25D0C">
        <w:rPr>
          <w:rFonts w:ascii="Arial" w:hAnsi="Arial" w:cs="Arial"/>
          <w:bCs/>
        </w:rPr>
        <w:t>=</w:t>
      </w:r>
      <w:r w:rsidR="00B768AA">
        <w:rPr>
          <w:rFonts w:ascii="Arial" w:hAnsi="Arial" w:cs="Arial"/>
          <w:bCs/>
        </w:rPr>
        <w:t>21.258,18</w:t>
      </w:r>
      <w:r w:rsidR="00EA7ABF">
        <w:rPr>
          <w:rFonts w:ascii="Arial" w:hAnsi="Arial" w:cs="Arial"/>
          <w:bCs/>
        </w:rPr>
        <w:t>€</w:t>
      </w:r>
      <w:r w:rsidR="00A47D90">
        <w:rPr>
          <w:rFonts w:ascii="Arial" w:hAnsi="Arial" w:cs="Arial"/>
          <w:b/>
        </w:rPr>
        <w:t xml:space="preserve"> </w:t>
      </w:r>
      <w:r w:rsidR="00AA5546">
        <w:rPr>
          <w:rFonts w:ascii="Arial" w:hAnsi="Arial" w:cs="Arial"/>
          <w:bCs/>
        </w:rPr>
        <w:t>,</w:t>
      </w:r>
      <w:r w:rsidR="00EA7ABF">
        <w:rPr>
          <w:rFonts w:ascii="Arial" w:hAnsi="Arial" w:cs="Arial"/>
          <w:bCs/>
        </w:rPr>
        <w:t xml:space="preserve"> </w:t>
      </w:r>
      <w:r w:rsidR="002E14BF">
        <w:rPr>
          <w:rFonts w:ascii="Arial" w:hAnsi="Arial" w:cs="Arial"/>
          <w:bCs/>
        </w:rPr>
        <w:t xml:space="preserve">kako slijedi; </w:t>
      </w:r>
    </w:p>
    <w:p w14:paraId="75E700E5" w14:textId="77777777" w:rsidR="002E14BF" w:rsidRDefault="002E14BF" w:rsidP="00644C13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5C6CFC15" w14:textId="77ADC7D2" w:rsidR="00267787" w:rsidRDefault="00C20F8D" w:rsidP="00644C13">
      <w:pPr>
        <w:pStyle w:val="Odlomakpopisa"/>
        <w:ind w:left="0"/>
        <w:jc w:val="both"/>
        <w:rPr>
          <w:rFonts w:ascii="Arial" w:hAnsi="Arial" w:cs="Arial"/>
        </w:rPr>
      </w:pPr>
      <w:r w:rsidRPr="002E14BF">
        <w:rPr>
          <w:rFonts w:ascii="Arial" w:hAnsi="Arial" w:cs="Arial"/>
          <w:b/>
          <w:bCs/>
        </w:rPr>
        <w:t>Račun 321</w:t>
      </w:r>
      <w:r>
        <w:rPr>
          <w:rFonts w:ascii="Arial" w:hAnsi="Arial" w:cs="Arial"/>
        </w:rPr>
        <w:t xml:space="preserve"> </w:t>
      </w:r>
      <w:r w:rsidR="004C083E">
        <w:rPr>
          <w:rFonts w:ascii="Arial" w:hAnsi="Arial" w:cs="Arial"/>
        </w:rPr>
        <w:t>Naknade troškova zaposlenima</w:t>
      </w:r>
      <w:r w:rsidR="00267787">
        <w:rPr>
          <w:rFonts w:ascii="Arial" w:hAnsi="Arial" w:cs="Arial"/>
        </w:rPr>
        <w:t xml:space="preserve"> , odnosi se na službena putovanja </w:t>
      </w:r>
      <w:r>
        <w:rPr>
          <w:rFonts w:ascii="Arial" w:hAnsi="Arial" w:cs="Arial"/>
        </w:rPr>
        <w:t>radi od</w:t>
      </w:r>
      <w:r w:rsidR="00F70E70">
        <w:rPr>
          <w:rFonts w:ascii="Arial" w:hAnsi="Arial" w:cs="Arial"/>
        </w:rPr>
        <w:t xml:space="preserve">laska ravnateljice </w:t>
      </w:r>
      <w:r w:rsidR="00AA5546">
        <w:rPr>
          <w:rFonts w:ascii="Arial" w:hAnsi="Arial" w:cs="Arial"/>
        </w:rPr>
        <w:t xml:space="preserve">na radne sastanke </w:t>
      </w:r>
      <w:r>
        <w:rPr>
          <w:rFonts w:ascii="Arial" w:hAnsi="Arial" w:cs="Arial"/>
        </w:rPr>
        <w:t xml:space="preserve">, naknade su </w:t>
      </w:r>
      <w:r w:rsidR="00267787">
        <w:rPr>
          <w:rFonts w:ascii="Arial" w:hAnsi="Arial" w:cs="Arial"/>
        </w:rPr>
        <w:t xml:space="preserve">u smislu troškova za loko vožnju prilikom obavljanja </w:t>
      </w:r>
      <w:r w:rsidR="00D72CE3">
        <w:rPr>
          <w:rFonts w:ascii="Arial" w:hAnsi="Arial" w:cs="Arial"/>
        </w:rPr>
        <w:t>redovnih</w:t>
      </w:r>
      <w:r w:rsidR="00267787">
        <w:rPr>
          <w:rFonts w:ascii="Arial" w:hAnsi="Arial" w:cs="Arial"/>
        </w:rPr>
        <w:t xml:space="preserve"> obveza</w:t>
      </w:r>
      <w:r w:rsidR="00D72CE3">
        <w:rPr>
          <w:rFonts w:ascii="Arial" w:hAnsi="Arial" w:cs="Arial"/>
        </w:rPr>
        <w:t xml:space="preserve"> i nabava u Novskoj ili Kutini </w:t>
      </w:r>
      <w:r w:rsidR="00267787">
        <w:rPr>
          <w:rFonts w:ascii="Arial" w:hAnsi="Arial" w:cs="Arial"/>
        </w:rPr>
        <w:t>te radnih sastanaka ravnateljice D</w:t>
      </w:r>
      <w:r w:rsidR="00A47D90">
        <w:rPr>
          <w:rFonts w:ascii="Arial" w:hAnsi="Arial" w:cs="Arial"/>
        </w:rPr>
        <w:t>V</w:t>
      </w:r>
      <w:r w:rsidR="00D72CE3">
        <w:rPr>
          <w:rFonts w:ascii="Arial" w:hAnsi="Arial" w:cs="Arial"/>
        </w:rPr>
        <w:t xml:space="preserve"> u MUP-u </w:t>
      </w:r>
      <w:r w:rsidR="00A47D90">
        <w:rPr>
          <w:rFonts w:ascii="Arial" w:hAnsi="Arial" w:cs="Arial"/>
        </w:rPr>
        <w:t>, t</w:t>
      </w:r>
      <w:r w:rsidR="00267787">
        <w:rPr>
          <w:rFonts w:ascii="Arial" w:hAnsi="Arial" w:cs="Arial"/>
        </w:rPr>
        <w:t xml:space="preserve">e naknade za prijevoz za dolazak na posao i odlazak s posla </w:t>
      </w:r>
      <w:r w:rsidR="00894735">
        <w:rPr>
          <w:rFonts w:ascii="Arial" w:hAnsi="Arial" w:cs="Arial"/>
        </w:rPr>
        <w:t xml:space="preserve">čiji je indeks </w:t>
      </w:r>
      <w:r w:rsidR="00E242BD">
        <w:rPr>
          <w:rFonts w:ascii="Arial" w:hAnsi="Arial" w:cs="Arial"/>
        </w:rPr>
        <w:t xml:space="preserve">u </w:t>
      </w:r>
      <w:r w:rsidR="003D2074">
        <w:rPr>
          <w:rFonts w:ascii="Arial" w:hAnsi="Arial" w:cs="Arial"/>
        </w:rPr>
        <w:t xml:space="preserve">povećanju </w:t>
      </w:r>
      <w:r w:rsidR="00F70E70">
        <w:rPr>
          <w:rFonts w:ascii="Arial" w:hAnsi="Arial" w:cs="Arial"/>
        </w:rPr>
        <w:t>radi promjene u priznavanju troškova prijevoza u smislu obračuna udaljenosti preko 1 km stanovanja i dolaskom na posao osobnim prijevozom</w:t>
      </w:r>
      <w:r w:rsidR="00DD1703">
        <w:rPr>
          <w:rFonts w:ascii="Arial" w:hAnsi="Arial" w:cs="Arial"/>
        </w:rPr>
        <w:t xml:space="preserve">. </w:t>
      </w:r>
    </w:p>
    <w:p w14:paraId="624FC147" w14:textId="77777777" w:rsidR="003D2074" w:rsidRDefault="003D2074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05E2685B" w14:textId="6A30966F" w:rsidR="00BB74B5" w:rsidRDefault="00C20F8D" w:rsidP="00644C13">
      <w:pPr>
        <w:pStyle w:val="Odlomakpopisa"/>
        <w:ind w:left="0"/>
        <w:jc w:val="both"/>
        <w:rPr>
          <w:rFonts w:ascii="Arial" w:hAnsi="Arial" w:cs="Arial"/>
          <w:bCs/>
        </w:rPr>
      </w:pPr>
      <w:r w:rsidRPr="001C67C9">
        <w:rPr>
          <w:rFonts w:ascii="Arial" w:hAnsi="Arial" w:cs="Arial"/>
          <w:b/>
        </w:rPr>
        <w:t>Račun 322</w:t>
      </w:r>
      <w:r>
        <w:rPr>
          <w:rFonts w:ascii="Arial" w:hAnsi="Arial" w:cs="Arial"/>
          <w:bCs/>
        </w:rPr>
        <w:t xml:space="preserve"> </w:t>
      </w:r>
      <w:r w:rsidR="0001028F" w:rsidRPr="00F710D9">
        <w:rPr>
          <w:rFonts w:ascii="Arial" w:hAnsi="Arial" w:cs="Arial"/>
          <w:bCs/>
        </w:rPr>
        <w:t>Rashodi za materijal i energiju</w:t>
      </w:r>
      <w:r w:rsidR="007301A4">
        <w:rPr>
          <w:rFonts w:ascii="Arial" w:hAnsi="Arial" w:cs="Arial"/>
          <w:bCs/>
        </w:rPr>
        <w:t>,</w:t>
      </w:r>
      <w:r w:rsidR="001C4659" w:rsidRPr="00F710D9">
        <w:rPr>
          <w:rFonts w:ascii="Arial" w:hAnsi="Arial" w:cs="Arial"/>
          <w:bCs/>
        </w:rPr>
        <w:t xml:space="preserve"> izvr</w:t>
      </w:r>
      <w:r w:rsidR="008862B7">
        <w:rPr>
          <w:rFonts w:ascii="Arial" w:hAnsi="Arial" w:cs="Arial"/>
          <w:bCs/>
        </w:rPr>
        <w:t xml:space="preserve">šenje u odnosu </w:t>
      </w:r>
      <w:r w:rsidR="00EF072A">
        <w:rPr>
          <w:rFonts w:ascii="Arial" w:hAnsi="Arial" w:cs="Arial"/>
          <w:bCs/>
        </w:rPr>
        <w:t xml:space="preserve">na </w:t>
      </w:r>
      <w:r w:rsidR="008862B7">
        <w:rPr>
          <w:rFonts w:ascii="Arial" w:hAnsi="Arial" w:cs="Arial"/>
          <w:bCs/>
        </w:rPr>
        <w:t>prethodnu godinu veće</w:t>
      </w:r>
      <w:r w:rsidR="00F710D9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 xml:space="preserve"> </w:t>
      </w:r>
      <w:r w:rsidR="000F48B2">
        <w:rPr>
          <w:rFonts w:ascii="Arial" w:hAnsi="Arial" w:cs="Arial"/>
          <w:bCs/>
        </w:rPr>
        <w:t xml:space="preserve">radi toga što </w:t>
      </w:r>
      <w:r w:rsidR="001C67C9">
        <w:rPr>
          <w:rFonts w:ascii="Arial" w:hAnsi="Arial" w:cs="Arial"/>
          <w:bCs/>
        </w:rPr>
        <w:t xml:space="preserve">su </w:t>
      </w:r>
      <w:r w:rsidR="0006145D">
        <w:rPr>
          <w:rFonts w:ascii="Arial" w:hAnsi="Arial" w:cs="Arial"/>
          <w:bCs/>
        </w:rPr>
        <w:t>rash</w:t>
      </w:r>
      <w:r w:rsidR="00103189">
        <w:rPr>
          <w:rFonts w:ascii="Arial" w:hAnsi="Arial" w:cs="Arial"/>
          <w:bCs/>
        </w:rPr>
        <w:t>odi za</w:t>
      </w:r>
      <w:r w:rsidR="008862B7">
        <w:rPr>
          <w:rFonts w:ascii="Arial" w:hAnsi="Arial" w:cs="Arial"/>
          <w:bCs/>
        </w:rPr>
        <w:t xml:space="preserve"> </w:t>
      </w:r>
      <w:r w:rsidR="00103189">
        <w:rPr>
          <w:rFonts w:ascii="Arial" w:hAnsi="Arial" w:cs="Arial"/>
          <w:bCs/>
        </w:rPr>
        <w:t xml:space="preserve"> namirnice </w:t>
      </w:r>
      <w:r w:rsidR="008862B7">
        <w:rPr>
          <w:rFonts w:ascii="Arial" w:hAnsi="Arial" w:cs="Arial"/>
          <w:bCs/>
        </w:rPr>
        <w:t>veći</w:t>
      </w:r>
      <w:r w:rsidR="001C67C9">
        <w:rPr>
          <w:rFonts w:ascii="Arial" w:hAnsi="Arial" w:cs="Arial"/>
          <w:bCs/>
        </w:rPr>
        <w:t xml:space="preserve"> u odnosu na prethodnu godinu</w:t>
      </w:r>
      <w:r w:rsidR="008862B7">
        <w:rPr>
          <w:rFonts w:ascii="Arial" w:hAnsi="Arial" w:cs="Arial"/>
          <w:bCs/>
        </w:rPr>
        <w:t xml:space="preserve">  </w:t>
      </w:r>
      <w:r w:rsidR="001C67C9">
        <w:rPr>
          <w:rFonts w:ascii="Arial" w:hAnsi="Arial" w:cs="Arial"/>
          <w:bCs/>
        </w:rPr>
        <w:t xml:space="preserve"> a </w:t>
      </w:r>
      <w:r w:rsidR="00230B39">
        <w:rPr>
          <w:rFonts w:ascii="Arial" w:hAnsi="Arial" w:cs="Arial"/>
          <w:bCs/>
        </w:rPr>
        <w:t xml:space="preserve">rashodi </w:t>
      </w:r>
      <w:r w:rsidR="00103189">
        <w:rPr>
          <w:rFonts w:ascii="Arial" w:hAnsi="Arial" w:cs="Arial"/>
          <w:bCs/>
        </w:rPr>
        <w:t xml:space="preserve"> energij</w:t>
      </w:r>
      <w:r w:rsidR="00230B3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bilježe porast radi </w:t>
      </w:r>
      <w:r w:rsidR="0088007A">
        <w:rPr>
          <w:rFonts w:ascii="Arial" w:hAnsi="Arial" w:cs="Arial"/>
          <w:bCs/>
        </w:rPr>
        <w:t xml:space="preserve">sezone grijanja i </w:t>
      </w:r>
      <w:r>
        <w:rPr>
          <w:rFonts w:ascii="Arial" w:hAnsi="Arial" w:cs="Arial"/>
          <w:bCs/>
        </w:rPr>
        <w:t xml:space="preserve">povećanja </w:t>
      </w:r>
      <w:r w:rsidR="008862B7">
        <w:rPr>
          <w:rFonts w:ascii="Arial" w:hAnsi="Arial" w:cs="Arial"/>
          <w:bCs/>
        </w:rPr>
        <w:t>cijena roba i usluga na tržištu</w:t>
      </w:r>
      <w:r w:rsidR="0088007A">
        <w:rPr>
          <w:rFonts w:ascii="Arial" w:hAnsi="Arial" w:cs="Arial"/>
          <w:bCs/>
        </w:rPr>
        <w:t xml:space="preserve"> </w:t>
      </w:r>
      <w:r w:rsidR="000F48B2">
        <w:rPr>
          <w:rFonts w:ascii="Arial" w:hAnsi="Arial" w:cs="Arial"/>
          <w:bCs/>
        </w:rPr>
        <w:t>.</w:t>
      </w:r>
    </w:p>
    <w:p w14:paraId="360E0D2E" w14:textId="53480B01" w:rsidR="000F48B2" w:rsidRPr="00F710D9" w:rsidRDefault="000F48B2" w:rsidP="00644C13">
      <w:pPr>
        <w:pStyle w:val="Odlomakpopisa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Nabave sitnog inventara i radne odjeće u prvom polugodištu nije bilo.</w:t>
      </w:r>
    </w:p>
    <w:p w14:paraId="635218D9" w14:textId="77777777" w:rsidR="00DC7953" w:rsidRDefault="00DC7953" w:rsidP="00644C13">
      <w:pPr>
        <w:pStyle w:val="Odlomakpopisa"/>
        <w:ind w:left="0"/>
        <w:jc w:val="both"/>
        <w:rPr>
          <w:rFonts w:ascii="Arial" w:hAnsi="Arial" w:cs="Arial"/>
          <w:b/>
        </w:rPr>
      </w:pPr>
    </w:p>
    <w:p w14:paraId="07428196" w14:textId="616FE789" w:rsidR="001F42DC" w:rsidRPr="00BB74B5" w:rsidRDefault="009C0DD3" w:rsidP="00644C13">
      <w:pPr>
        <w:pStyle w:val="Odlomakpopisa"/>
        <w:ind w:left="0"/>
        <w:jc w:val="both"/>
        <w:rPr>
          <w:rFonts w:ascii="Arial" w:hAnsi="Arial" w:cs="Arial"/>
          <w:bCs/>
        </w:rPr>
      </w:pPr>
      <w:r w:rsidRPr="001C67C9">
        <w:rPr>
          <w:rFonts w:ascii="Arial" w:hAnsi="Arial" w:cs="Arial"/>
          <w:b/>
        </w:rPr>
        <w:t>Račun 323</w:t>
      </w:r>
      <w:r>
        <w:rPr>
          <w:rFonts w:ascii="Arial" w:hAnsi="Arial" w:cs="Arial"/>
          <w:bCs/>
        </w:rPr>
        <w:t xml:space="preserve"> </w:t>
      </w:r>
      <w:r w:rsidR="001F42DC" w:rsidRPr="00BB74B5">
        <w:rPr>
          <w:rFonts w:ascii="Arial" w:hAnsi="Arial" w:cs="Arial"/>
          <w:bCs/>
        </w:rPr>
        <w:t>Rashodi za usluge</w:t>
      </w:r>
      <w:r w:rsidR="009B1199">
        <w:rPr>
          <w:rFonts w:ascii="Arial" w:hAnsi="Arial" w:cs="Arial"/>
          <w:bCs/>
        </w:rPr>
        <w:t xml:space="preserve"> </w:t>
      </w:r>
      <w:r w:rsidR="005631BF">
        <w:rPr>
          <w:rFonts w:ascii="Arial" w:hAnsi="Arial" w:cs="Arial"/>
          <w:bCs/>
        </w:rPr>
        <w:t xml:space="preserve">, bilježi se veća razlika </w:t>
      </w:r>
      <w:r w:rsidR="0002530C">
        <w:rPr>
          <w:rFonts w:ascii="Arial" w:hAnsi="Arial" w:cs="Arial"/>
          <w:bCs/>
        </w:rPr>
        <w:t>radi</w:t>
      </w:r>
      <w:r w:rsidR="005631BF">
        <w:rPr>
          <w:rFonts w:ascii="Arial" w:hAnsi="Arial" w:cs="Arial"/>
          <w:bCs/>
        </w:rPr>
        <w:t xml:space="preserve"> </w:t>
      </w:r>
      <w:r w:rsidR="0002530C">
        <w:rPr>
          <w:rFonts w:ascii="Arial" w:hAnsi="Arial" w:cs="Arial"/>
          <w:bCs/>
        </w:rPr>
        <w:t xml:space="preserve">nastalog </w:t>
      </w:r>
      <w:r w:rsidR="005631BF">
        <w:rPr>
          <w:rFonts w:ascii="Arial" w:hAnsi="Arial" w:cs="Arial"/>
          <w:bCs/>
        </w:rPr>
        <w:t>rashoda jednog autobusnog prijevoza na dječju olimpijadu.</w:t>
      </w:r>
    </w:p>
    <w:p w14:paraId="33D28272" w14:textId="77777777" w:rsidR="0002530C" w:rsidRDefault="00F74658" w:rsidP="0017160A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Usluga telefona, pošte i prijevoza</w:t>
      </w:r>
      <w:r w:rsidR="0017160A">
        <w:rPr>
          <w:rFonts w:ascii="Arial" w:hAnsi="Arial" w:cs="Arial"/>
        </w:rPr>
        <w:t xml:space="preserve"> nešto su veći radi povećanja cijena</w:t>
      </w:r>
      <w:r w:rsidR="0002530C">
        <w:rPr>
          <w:rFonts w:ascii="Arial" w:hAnsi="Arial" w:cs="Arial"/>
        </w:rPr>
        <w:t xml:space="preserve"> te korištenja paketa mobilnih usluga.</w:t>
      </w:r>
    </w:p>
    <w:p w14:paraId="701C5D79" w14:textId="1336AFAC" w:rsidR="00912450" w:rsidRPr="0017160A" w:rsidRDefault="0002530C" w:rsidP="0017160A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7160A">
        <w:rPr>
          <w:rFonts w:ascii="Arial" w:hAnsi="Arial" w:cs="Arial"/>
        </w:rPr>
        <w:t>omunalne usluge -</w:t>
      </w:r>
      <w:r w:rsidR="00912450" w:rsidRPr="0017160A">
        <w:rPr>
          <w:rFonts w:ascii="Arial" w:hAnsi="Arial" w:cs="Arial"/>
        </w:rPr>
        <w:t>usluge su vodoopskrbe i iznošenja i odvoza komunalnog otpada</w:t>
      </w:r>
      <w:r w:rsidR="000B2CAE" w:rsidRPr="0017160A">
        <w:rPr>
          <w:rFonts w:ascii="Arial" w:hAnsi="Arial" w:cs="Arial"/>
        </w:rPr>
        <w:t xml:space="preserve"> te usluge deratizacije, dezinfekcije i dezinsekcije</w:t>
      </w:r>
      <w:r w:rsidR="005631BF">
        <w:rPr>
          <w:rFonts w:ascii="Arial" w:hAnsi="Arial" w:cs="Arial"/>
        </w:rPr>
        <w:t>. Nabava okvira za slike i dvije zastave RH.</w:t>
      </w:r>
    </w:p>
    <w:p w14:paraId="0B3AD7C2" w14:textId="410FC8E9" w:rsidR="000067FC" w:rsidRDefault="000067FC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Zdravstvene i veterinarske usluge , usluge su z</w:t>
      </w:r>
      <w:r w:rsidR="00480C8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mikrobiološki pregled</w:t>
      </w:r>
      <w:r w:rsidR="00480C8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sukladno zakonskim obvezama </w:t>
      </w:r>
      <w:r w:rsidR="00BD26E2">
        <w:rPr>
          <w:rFonts w:ascii="Arial" w:hAnsi="Arial" w:cs="Arial"/>
        </w:rPr>
        <w:t>i standarda rada Dječjeg vrtića</w:t>
      </w:r>
      <w:r w:rsidR="00427499">
        <w:rPr>
          <w:rFonts w:ascii="Arial" w:hAnsi="Arial" w:cs="Arial"/>
        </w:rPr>
        <w:t xml:space="preserve"> ,</w:t>
      </w:r>
      <w:r w:rsidR="0002530C">
        <w:rPr>
          <w:rFonts w:ascii="Arial" w:hAnsi="Arial" w:cs="Arial"/>
        </w:rPr>
        <w:t xml:space="preserve">na indeks smanjenja utječe prošlogodišnje </w:t>
      </w:r>
      <w:r w:rsidR="0017160A">
        <w:rPr>
          <w:rFonts w:ascii="Arial" w:hAnsi="Arial" w:cs="Arial"/>
        </w:rPr>
        <w:t>obavljanj</w:t>
      </w:r>
      <w:r w:rsidR="0002530C">
        <w:rPr>
          <w:rFonts w:ascii="Arial" w:hAnsi="Arial" w:cs="Arial"/>
        </w:rPr>
        <w:t>e</w:t>
      </w:r>
      <w:r w:rsidR="0017160A">
        <w:rPr>
          <w:rFonts w:ascii="Arial" w:hAnsi="Arial" w:cs="Arial"/>
        </w:rPr>
        <w:t xml:space="preserve"> preventivnog sistematskog pregleda zaposlenica. </w:t>
      </w:r>
    </w:p>
    <w:p w14:paraId="6B73D70F" w14:textId="03AF288B" w:rsidR="001F42DC" w:rsidRDefault="007E50CF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Intelektualne i osobne usluge , </w:t>
      </w:r>
      <w:r w:rsidR="008C4326">
        <w:rPr>
          <w:rFonts w:ascii="Arial" w:hAnsi="Arial" w:cs="Arial"/>
        </w:rPr>
        <w:t xml:space="preserve">rashodi </w:t>
      </w:r>
      <w:r>
        <w:rPr>
          <w:rFonts w:ascii="Arial" w:hAnsi="Arial" w:cs="Arial"/>
        </w:rPr>
        <w:t xml:space="preserve">su </w:t>
      </w:r>
      <w:r w:rsidR="008C432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usluge obavljanja poslova zaštite na radu sukladno zakonskim propisima</w:t>
      </w:r>
      <w:r w:rsidR="00B72554">
        <w:rPr>
          <w:rFonts w:ascii="Arial" w:hAnsi="Arial" w:cs="Arial"/>
        </w:rPr>
        <w:t>,</w:t>
      </w:r>
      <w:r w:rsidR="00376F70">
        <w:rPr>
          <w:rFonts w:ascii="Arial" w:hAnsi="Arial" w:cs="Arial"/>
        </w:rPr>
        <w:t xml:space="preserve"> </w:t>
      </w:r>
      <w:r w:rsidR="00B72554">
        <w:rPr>
          <w:rFonts w:ascii="Arial" w:hAnsi="Arial" w:cs="Arial"/>
        </w:rPr>
        <w:t>za iste usluge potpisan je početkom godine novi ugovor sa povećanom cijenom za 2025.g. što će znatno utjecati na indeks. I</w:t>
      </w:r>
      <w:r w:rsidR="0088007A">
        <w:rPr>
          <w:rFonts w:ascii="Arial" w:hAnsi="Arial" w:cs="Arial"/>
        </w:rPr>
        <w:t xml:space="preserve">splaćen </w:t>
      </w:r>
      <w:r w:rsidR="00B72554">
        <w:rPr>
          <w:rFonts w:ascii="Arial" w:hAnsi="Arial" w:cs="Arial"/>
        </w:rPr>
        <w:t xml:space="preserve">je </w:t>
      </w:r>
      <w:r w:rsidR="004F10BE">
        <w:rPr>
          <w:rFonts w:ascii="Arial" w:hAnsi="Arial" w:cs="Arial"/>
        </w:rPr>
        <w:t xml:space="preserve">i </w:t>
      </w:r>
      <w:r w:rsidR="0088007A">
        <w:rPr>
          <w:rFonts w:ascii="Arial" w:hAnsi="Arial" w:cs="Arial"/>
        </w:rPr>
        <w:t xml:space="preserve">ugovor o djelu za </w:t>
      </w:r>
      <w:r w:rsidR="00FA5F1E">
        <w:rPr>
          <w:rFonts w:ascii="Arial" w:hAnsi="Arial" w:cs="Arial"/>
        </w:rPr>
        <w:t>usluge pedagoga.</w:t>
      </w:r>
    </w:p>
    <w:p w14:paraId="0DD331E8" w14:textId="77777777" w:rsidR="0088007A" w:rsidRDefault="0088007A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7EA1B708" w14:textId="0907746C" w:rsidR="00BD26E2" w:rsidRDefault="005240F9" w:rsidP="00644C13">
      <w:pPr>
        <w:pStyle w:val="Odlomakpopisa"/>
        <w:ind w:left="0"/>
        <w:jc w:val="both"/>
        <w:rPr>
          <w:rFonts w:ascii="Arial" w:hAnsi="Arial" w:cs="Arial"/>
          <w:b/>
        </w:rPr>
      </w:pPr>
      <w:r w:rsidRPr="007B75CE">
        <w:rPr>
          <w:rFonts w:ascii="Arial" w:hAnsi="Arial" w:cs="Arial"/>
          <w:b/>
        </w:rPr>
        <w:t>Račun 329</w:t>
      </w:r>
      <w:r w:rsidRPr="005240F9">
        <w:rPr>
          <w:rFonts w:ascii="Arial" w:hAnsi="Arial" w:cs="Arial"/>
          <w:bCs/>
        </w:rPr>
        <w:t xml:space="preserve"> </w:t>
      </w:r>
      <w:r w:rsidR="00BD26E2" w:rsidRPr="005240F9">
        <w:rPr>
          <w:rFonts w:ascii="Arial" w:hAnsi="Arial" w:cs="Arial"/>
          <w:bCs/>
        </w:rPr>
        <w:t>Ostali nespomenuti rashodi poslovanja</w:t>
      </w:r>
      <w:r w:rsidR="00BD26E2" w:rsidRPr="00BD26E2">
        <w:rPr>
          <w:rFonts w:ascii="Arial" w:hAnsi="Arial" w:cs="Arial"/>
          <w:b/>
        </w:rPr>
        <w:t xml:space="preserve"> </w:t>
      </w:r>
    </w:p>
    <w:p w14:paraId="1CF7A558" w14:textId="4F22D2FA" w:rsidR="00BD26E2" w:rsidRDefault="00BD26E2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Premije osiguranja  –</w:t>
      </w:r>
      <w:r w:rsidR="008B310C">
        <w:rPr>
          <w:rFonts w:ascii="Arial" w:hAnsi="Arial" w:cs="Arial"/>
        </w:rPr>
        <w:t xml:space="preserve">odnosi se na </w:t>
      </w:r>
      <w:r>
        <w:rPr>
          <w:rFonts w:ascii="Arial" w:hAnsi="Arial" w:cs="Arial"/>
        </w:rPr>
        <w:t xml:space="preserve">police osiguranja </w:t>
      </w:r>
      <w:r w:rsidR="000D6848">
        <w:rPr>
          <w:rFonts w:ascii="Arial" w:hAnsi="Arial" w:cs="Arial"/>
        </w:rPr>
        <w:t xml:space="preserve">koje su </w:t>
      </w:r>
      <w:r>
        <w:rPr>
          <w:rFonts w:ascii="Arial" w:hAnsi="Arial" w:cs="Arial"/>
        </w:rPr>
        <w:t xml:space="preserve">sklopljene za osiguranje djece, zaposlenih </w:t>
      </w:r>
      <w:r w:rsidR="008D5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 imovine </w:t>
      </w:r>
    </w:p>
    <w:p w14:paraId="63A67B57" w14:textId="67B9117F" w:rsidR="008D5E61" w:rsidRDefault="008D5E61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Ostali nespomenuti rashodi poslova</w:t>
      </w:r>
      <w:r w:rsidR="000D6848">
        <w:rPr>
          <w:rFonts w:ascii="Arial" w:hAnsi="Arial" w:cs="Arial"/>
        </w:rPr>
        <w:t xml:space="preserve">nja </w:t>
      </w:r>
      <w:r w:rsidR="00BB3346">
        <w:rPr>
          <w:rFonts w:ascii="Arial" w:hAnsi="Arial" w:cs="Arial"/>
        </w:rPr>
        <w:t>–</w:t>
      </w:r>
      <w:r w:rsidR="006B5E3B">
        <w:rPr>
          <w:rFonts w:ascii="Arial" w:hAnsi="Arial" w:cs="Arial"/>
        </w:rPr>
        <w:t xml:space="preserve"> </w:t>
      </w:r>
      <w:r w:rsidR="0084188B">
        <w:rPr>
          <w:rFonts w:ascii="Arial" w:hAnsi="Arial" w:cs="Arial"/>
        </w:rPr>
        <w:t>H</w:t>
      </w:r>
      <w:r w:rsidR="00BB3346">
        <w:rPr>
          <w:rFonts w:ascii="Arial" w:hAnsi="Arial" w:cs="Arial"/>
        </w:rPr>
        <w:t>rt/</w:t>
      </w:r>
      <w:r w:rsidR="0084188B">
        <w:rPr>
          <w:rFonts w:ascii="Arial" w:hAnsi="Arial" w:cs="Arial"/>
        </w:rPr>
        <w:t>R</w:t>
      </w:r>
      <w:r w:rsidR="00BB3346">
        <w:rPr>
          <w:rFonts w:ascii="Arial" w:hAnsi="Arial" w:cs="Arial"/>
        </w:rPr>
        <w:t>tv</w:t>
      </w:r>
      <w:r w:rsidR="00ED7D6A">
        <w:rPr>
          <w:rFonts w:ascii="Arial" w:hAnsi="Arial" w:cs="Arial"/>
        </w:rPr>
        <w:t xml:space="preserve"> pristojbe, usluge korištenja e</w:t>
      </w:r>
      <w:r w:rsidR="00BF73FE">
        <w:rPr>
          <w:rFonts w:ascii="Arial" w:hAnsi="Arial" w:cs="Arial"/>
        </w:rPr>
        <w:t>s</w:t>
      </w:r>
      <w:r w:rsidR="00ED7D6A">
        <w:rPr>
          <w:rFonts w:ascii="Arial" w:hAnsi="Arial" w:cs="Arial"/>
        </w:rPr>
        <w:t xml:space="preserve">ervisa FINA-e , </w:t>
      </w:r>
      <w:r w:rsidR="005240F9">
        <w:rPr>
          <w:rFonts w:ascii="Arial" w:hAnsi="Arial" w:cs="Arial"/>
        </w:rPr>
        <w:t xml:space="preserve"> </w:t>
      </w:r>
      <w:r w:rsidR="00BF73FE">
        <w:rPr>
          <w:rFonts w:ascii="Arial" w:hAnsi="Arial" w:cs="Arial"/>
        </w:rPr>
        <w:t xml:space="preserve"> </w:t>
      </w:r>
      <w:r w:rsidR="0084188B" w:rsidRPr="0084188B">
        <w:rPr>
          <w:rFonts w:ascii="Arial" w:hAnsi="Arial" w:cs="Arial"/>
        </w:rPr>
        <w:t xml:space="preserve">razlika u </w:t>
      </w:r>
      <w:r w:rsidR="0084188B">
        <w:rPr>
          <w:rFonts w:ascii="Arial" w:hAnsi="Arial" w:cs="Arial"/>
        </w:rPr>
        <w:t xml:space="preserve">indeks pokazateljima </w:t>
      </w:r>
      <w:r w:rsidR="0084188B" w:rsidRPr="0084188B">
        <w:rPr>
          <w:rFonts w:ascii="Arial" w:hAnsi="Arial" w:cs="Arial"/>
        </w:rPr>
        <w:t xml:space="preserve">nastala je nabavom didaktike </w:t>
      </w:r>
      <w:r w:rsidR="0084188B">
        <w:rPr>
          <w:rFonts w:ascii="Arial" w:hAnsi="Arial" w:cs="Arial"/>
        </w:rPr>
        <w:t xml:space="preserve">u 2024.g. </w:t>
      </w:r>
      <w:r w:rsidR="0084188B" w:rsidRPr="0084188B">
        <w:rPr>
          <w:rFonts w:ascii="Arial" w:hAnsi="Arial" w:cs="Arial"/>
        </w:rPr>
        <w:t>za program „predškole“  iz izvora Ministarstva obrazovanja i znanosti iz redovnih doznaka te iz prenijetih sredstava iz prethodne godine</w:t>
      </w:r>
    </w:p>
    <w:p w14:paraId="069DD843" w14:textId="77777777" w:rsidR="00064323" w:rsidRDefault="00064323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7C924763" w14:textId="0F0A0493" w:rsidR="00BB38EA" w:rsidRDefault="00757D18" w:rsidP="00644C13">
      <w:pPr>
        <w:pStyle w:val="Odlomakpopisa"/>
        <w:ind w:left="0"/>
        <w:jc w:val="both"/>
        <w:rPr>
          <w:rFonts w:ascii="Arial" w:hAnsi="Arial" w:cs="Arial"/>
        </w:rPr>
      </w:pPr>
      <w:r w:rsidRPr="000A4EEE">
        <w:rPr>
          <w:rFonts w:ascii="Arial" w:hAnsi="Arial" w:cs="Arial"/>
          <w:b/>
        </w:rPr>
        <w:t>Račun 343</w:t>
      </w:r>
      <w:r w:rsidRPr="00757D18">
        <w:rPr>
          <w:rFonts w:ascii="Arial" w:hAnsi="Arial" w:cs="Arial"/>
          <w:bCs/>
        </w:rPr>
        <w:t xml:space="preserve"> </w:t>
      </w:r>
      <w:r w:rsidR="0076711E" w:rsidRPr="00757D18">
        <w:rPr>
          <w:rFonts w:ascii="Arial" w:hAnsi="Arial" w:cs="Arial"/>
          <w:bCs/>
        </w:rPr>
        <w:t>Financijski rashodi</w:t>
      </w:r>
      <w:r w:rsidR="00D96891" w:rsidRPr="00757D18">
        <w:rPr>
          <w:rFonts w:ascii="Arial" w:hAnsi="Arial" w:cs="Arial"/>
          <w:bCs/>
        </w:rPr>
        <w:t xml:space="preserve"> </w:t>
      </w:r>
      <w:r w:rsidR="007F215D">
        <w:rPr>
          <w:rFonts w:ascii="Arial" w:hAnsi="Arial" w:cs="Arial"/>
          <w:bCs/>
        </w:rPr>
        <w:t xml:space="preserve">, - </w:t>
      </w:r>
      <w:r w:rsidR="0076711E" w:rsidRPr="00757D18">
        <w:rPr>
          <w:rFonts w:ascii="Arial" w:hAnsi="Arial" w:cs="Arial"/>
          <w:bCs/>
        </w:rPr>
        <w:t>ba</w:t>
      </w:r>
      <w:r w:rsidR="0076711E" w:rsidRPr="0076711E">
        <w:rPr>
          <w:rFonts w:ascii="Arial" w:hAnsi="Arial" w:cs="Arial"/>
        </w:rPr>
        <w:t xml:space="preserve">nkarske su usluge </w:t>
      </w:r>
      <w:r w:rsidR="007B27AD">
        <w:rPr>
          <w:rFonts w:ascii="Arial" w:hAnsi="Arial" w:cs="Arial"/>
        </w:rPr>
        <w:t xml:space="preserve">/naknade </w:t>
      </w:r>
      <w:r w:rsidR="0076711E" w:rsidRPr="0076711E">
        <w:rPr>
          <w:rFonts w:ascii="Arial" w:hAnsi="Arial" w:cs="Arial"/>
        </w:rPr>
        <w:t>platnog prometa</w:t>
      </w:r>
      <w:r w:rsidR="00BF73FE">
        <w:rPr>
          <w:rFonts w:ascii="Arial" w:hAnsi="Arial" w:cs="Arial"/>
        </w:rPr>
        <w:t xml:space="preserve">, </w:t>
      </w:r>
    </w:p>
    <w:p w14:paraId="2D9F0D1D" w14:textId="0FCC6EFC" w:rsidR="00064323" w:rsidRDefault="00CA121F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Prelaskom u punu riznic</w:t>
      </w:r>
      <w:r w:rsidR="007F215D">
        <w:rPr>
          <w:rFonts w:ascii="Arial" w:hAnsi="Arial" w:cs="Arial"/>
        </w:rPr>
        <w:t>u</w:t>
      </w:r>
      <w:r w:rsidR="0084188B">
        <w:rPr>
          <w:rFonts w:ascii="Arial" w:hAnsi="Arial" w:cs="Arial"/>
        </w:rPr>
        <w:t xml:space="preserve"> Nadležnog proračuna </w:t>
      </w:r>
      <w:r>
        <w:rPr>
          <w:rFonts w:ascii="Arial" w:hAnsi="Arial" w:cs="Arial"/>
        </w:rPr>
        <w:t xml:space="preserve"> </w:t>
      </w:r>
      <w:r w:rsidR="00064323">
        <w:rPr>
          <w:rFonts w:ascii="Arial" w:hAnsi="Arial" w:cs="Arial"/>
        </w:rPr>
        <w:t>žiro-račun</w:t>
      </w:r>
      <w:r>
        <w:rPr>
          <w:rFonts w:ascii="Arial" w:hAnsi="Arial" w:cs="Arial"/>
        </w:rPr>
        <w:t xml:space="preserve"> </w:t>
      </w:r>
      <w:r w:rsidR="00064323">
        <w:rPr>
          <w:rFonts w:ascii="Arial" w:hAnsi="Arial" w:cs="Arial"/>
        </w:rPr>
        <w:t xml:space="preserve">zatvoren </w:t>
      </w:r>
      <w:r w:rsidR="007F215D">
        <w:rPr>
          <w:rFonts w:ascii="Arial" w:hAnsi="Arial" w:cs="Arial"/>
        </w:rPr>
        <w:t xml:space="preserve">je </w:t>
      </w:r>
      <w:r w:rsidR="00064323">
        <w:rPr>
          <w:rFonts w:ascii="Arial" w:hAnsi="Arial" w:cs="Arial"/>
        </w:rPr>
        <w:t xml:space="preserve">tijekom veljače , zadnji račun plaćen </w:t>
      </w:r>
      <w:r w:rsidR="007F215D">
        <w:rPr>
          <w:rFonts w:ascii="Arial" w:hAnsi="Arial" w:cs="Arial"/>
        </w:rPr>
        <w:t xml:space="preserve">je </w:t>
      </w:r>
      <w:r w:rsidR="00064323">
        <w:rPr>
          <w:rFonts w:ascii="Arial" w:hAnsi="Arial" w:cs="Arial"/>
        </w:rPr>
        <w:t xml:space="preserve">prilikom zatvaranja računa </w:t>
      </w:r>
    </w:p>
    <w:p w14:paraId="4A3B9F16" w14:textId="17247FA9" w:rsidR="00064323" w:rsidRDefault="002074B9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Iskrica </w:t>
      </w:r>
      <w:r w:rsidRPr="002074B9">
        <w:rPr>
          <w:rFonts w:ascii="Arial" w:hAnsi="Arial" w:cs="Arial"/>
        </w:rPr>
        <w:t xml:space="preserve">je od 1.1.2025.g. u sustavu pune lokalne riznice kod </w:t>
      </w:r>
      <w:r w:rsidR="0084188B">
        <w:rPr>
          <w:rFonts w:ascii="Arial" w:hAnsi="Arial" w:cs="Arial"/>
        </w:rPr>
        <w:t>N</w:t>
      </w:r>
      <w:r w:rsidRPr="002074B9">
        <w:rPr>
          <w:rFonts w:ascii="Arial" w:hAnsi="Arial" w:cs="Arial"/>
        </w:rPr>
        <w:t>adležnog proračuna/ Općine Lipovljani</w:t>
      </w:r>
      <w:r w:rsidR="0084188B">
        <w:rPr>
          <w:rFonts w:ascii="Arial" w:hAnsi="Arial" w:cs="Arial"/>
        </w:rPr>
        <w:t>.</w:t>
      </w:r>
    </w:p>
    <w:p w14:paraId="3CA26F7C" w14:textId="77777777" w:rsidR="00FB29A3" w:rsidRDefault="00FB29A3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7C8C3353" w14:textId="3AB01A1F" w:rsidR="0084188B" w:rsidRPr="00FB29A3" w:rsidRDefault="0084188B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FB29A3">
        <w:rPr>
          <w:rFonts w:ascii="Arial" w:hAnsi="Arial" w:cs="Arial"/>
          <w:b/>
          <w:bCs/>
        </w:rPr>
        <w:t xml:space="preserve">Rezultat poslovanja ; </w:t>
      </w:r>
    </w:p>
    <w:p w14:paraId="05F02D4E" w14:textId="00458BB8" w:rsidR="0084188B" w:rsidRDefault="0084188B" w:rsidP="00644C13">
      <w:pPr>
        <w:pStyle w:val="Odlomakpopisa"/>
        <w:ind w:left="0"/>
        <w:jc w:val="both"/>
        <w:rPr>
          <w:rFonts w:ascii="Arial" w:hAnsi="Arial" w:cs="Arial"/>
        </w:rPr>
      </w:pPr>
      <w:r w:rsidRPr="0084188B">
        <w:rPr>
          <w:rFonts w:ascii="Arial" w:hAnsi="Arial" w:cs="Arial"/>
        </w:rPr>
        <w:t>Sučeljavanjem ukupnih prihoda</w:t>
      </w:r>
      <w:r w:rsidR="00FB29A3">
        <w:rPr>
          <w:rFonts w:ascii="Arial" w:hAnsi="Arial" w:cs="Arial"/>
        </w:rPr>
        <w:t xml:space="preserve"> i primitaka </w:t>
      </w:r>
      <w:r w:rsidRPr="0084188B">
        <w:rPr>
          <w:rFonts w:ascii="Arial" w:hAnsi="Arial" w:cs="Arial"/>
        </w:rPr>
        <w:t xml:space="preserve"> u polugodišnjem razdoblju u iznosu </w:t>
      </w:r>
      <w:r w:rsidR="00FB29A3" w:rsidRPr="00FB29A3">
        <w:rPr>
          <w:rFonts w:ascii="Arial" w:hAnsi="Arial" w:cs="Arial"/>
        </w:rPr>
        <w:t>168.720,32</w:t>
      </w:r>
      <w:r w:rsidR="00FB29A3">
        <w:rPr>
          <w:rFonts w:ascii="Arial" w:hAnsi="Arial" w:cs="Arial"/>
        </w:rPr>
        <w:t xml:space="preserve">€ i ukupnih rashoda i izdataka u iznosu od </w:t>
      </w:r>
      <w:r w:rsidR="00FB29A3" w:rsidRPr="00FB29A3">
        <w:rPr>
          <w:rFonts w:ascii="Arial" w:hAnsi="Arial" w:cs="Arial"/>
        </w:rPr>
        <w:t>195.361,94</w:t>
      </w:r>
      <w:r w:rsidR="00FB29A3">
        <w:rPr>
          <w:rFonts w:ascii="Arial" w:hAnsi="Arial" w:cs="Arial"/>
        </w:rPr>
        <w:t xml:space="preserve">€ uključujući rezultat iz prethodne godine dobiven je rezultat , manjak prihoda u iznosu od </w:t>
      </w:r>
      <w:r w:rsidR="00FB29A3" w:rsidRPr="00FB29A3">
        <w:rPr>
          <w:rFonts w:ascii="Arial" w:hAnsi="Arial" w:cs="Arial"/>
        </w:rPr>
        <w:tab/>
        <w:t>24.878,74</w:t>
      </w:r>
      <w:r w:rsidR="00FB29A3">
        <w:rPr>
          <w:rFonts w:ascii="Arial" w:hAnsi="Arial" w:cs="Arial"/>
        </w:rPr>
        <w:t>€ što odgovara stanju obveza na kraju obračunskog razdoblja umanjeno za stanje potraživanja na kontu 167 u iznosu od 1.779,52€.</w:t>
      </w:r>
    </w:p>
    <w:p w14:paraId="33275131" w14:textId="77777777" w:rsidR="00FB29A3" w:rsidRDefault="00FB29A3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7162ED9C" w14:textId="77777777" w:rsidR="00FB29A3" w:rsidRDefault="00FB29A3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14BDF3BE" w14:textId="77777777" w:rsidR="00816D31" w:rsidRDefault="00816D31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22CD7E31" w14:textId="77777777" w:rsidR="00D5566A" w:rsidRDefault="00816D31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16D31">
        <w:rPr>
          <w:rFonts w:ascii="Arial" w:hAnsi="Arial" w:cs="Arial"/>
          <w:b/>
          <w:bCs/>
        </w:rPr>
        <w:t>Izvještaj o obvezama</w:t>
      </w:r>
    </w:p>
    <w:p w14:paraId="67A94CDC" w14:textId="3039570E" w:rsidR="00816D31" w:rsidRDefault="00816D31" w:rsidP="00644C13">
      <w:pPr>
        <w:pStyle w:val="Odlomakpopisa"/>
        <w:ind w:left="0"/>
        <w:jc w:val="both"/>
        <w:rPr>
          <w:rFonts w:ascii="Arial" w:hAnsi="Arial" w:cs="Arial"/>
          <w:b/>
          <w:bCs/>
        </w:rPr>
      </w:pPr>
      <w:r w:rsidRPr="00816D31">
        <w:rPr>
          <w:rFonts w:ascii="Arial" w:hAnsi="Arial" w:cs="Arial"/>
          <w:b/>
          <w:bCs/>
        </w:rPr>
        <w:t xml:space="preserve"> </w:t>
      </w:r>
    </w:p>
    <w:p w14:paraId="2E77425B" w14:textId="473303CD" w:rsidR="00D5566A" w:rsidRDefault="00816D31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Šifra </w:t>
      </w:r>
      <w:r w:rsidR="00D5566A">
        <w:rPr>
          <w:rFonts w:ascii="Arial" w:hAnsi="Arial" w:cs="Arial"/>
        </w:rPr>
        <w:t>V</w:t>
      </w:r>
      <w:r>
        <w:rPr>
          <w:rFonts w:ascii="Arial" w:hAnsi="Arial" w:cs="Arial"/>
        </w:rPr>
        <w:t>007</w:t>
      </w:r>
      <w:r w:rsidR="00D5566A">
        <w:rPr>
          <w:rFonts w:ascii="Arial" w:hAnsi="Arial" w:cs="Arial"/>
        </w:rPr>
        <w:t xml:space="preserve">-D23 </w:t>
      </w:r>
      <w:r>
        <w:rPr>
          <w:rFonts w:ascii="Arial" w:hAnsi="Arial" w:cs="Arial"/>
        </w:rPr>
        <w:t xml:space="preserve"> </w:t>
      </w:r>
      <w:r w:rsidRPr="00816D31">
        <w:rPr>
          <w:rFonts w:ascii="Arial" w:hAnsi="Arial" w:cs="Arial"/>
        </w:rPr>
        <w:t xml:space="preserve">Stanje </w:t>
      </w:r>
      <w:r>
        <w:rPr>
          <w:rFonts w:ascii="Arial" w:hAnsi="Arial" w:cs="Arial"/>
        </w:rPr>
        <w:t xml:space="preserve">dospjelih </w:t>
      </w:r>
      <w:r w:rsidRPr="00816D31">
        <w:rPr>
          <w:rFonts w:ascii="Arial" w:hAnsi="Arial" w:cs="Arial"/>
        </w:rPr>
        <w:t>obveza na kraju izvještajnog razdoblja</w:t>
      </w:r>
      <w:r>
        <w:rPr>
          <w:rFonts w:ascii="Arial" w:hAnsi="Arial" w:cs="Arial"/>
        </w:rPr>
        <w:t xml:space="preserve"> u iznosu od 62,50€ </w:t>
      </w:r>
      <w:r w:rsidRPr="0081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prekoračenju je radi toga što je račun za tekuća održavanja poslan mailom</w:t>
      </w:r>
      <w:r w:rsidR="00D5566A">
        <w:rPr>
          <w:rFonts w:ascii="Arial" w:hAnsi="Arial" w:cs="Arial"/>
        </w:rPr>
        <w:t xml:space="preserve"> u PDF formatu umjesto putem platforme na eRačun tako da je sa zakašnjenjem evidentiran. </w:t>
      </w:r>
    </w:p>
    <w:p w14:paraId="66967A91" w14:textId="75A27599" w:rsidR="00816D31" w:rsidRDefault="00D5566A" w:rsidP="00644C13">
      <w:pPr>
        <w:pStyle w:val="Odlomakpopis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Šifra </w:t>
      </w:r>
      <w:r w:rsidR="00B52695">
        <w:rPr>
          <w:rFonts w:ascii="Arial" w:hAnsi="Arial" w:cs="Arial"/>
        </w:rPr>
        <w:t>ND 23 Obveze za rashode poslovanja odnose se na rashode za zaposlene , plaća za mjesec lipanj koja se isplaćuje u srpnju kao i naknade za godišnji odmor . Nadalje su to naknade zaposlenima za putni trošak , uredski materijal, namirnice</w:t>
      </w:r>
      <w:r w:rsidR="003A09AE">
        <w:rPr>
          <w:rFonts w:ascii="Arial" w:hAnsi="Arial" w:cs="Arial"/>
        </w:rPr>
        <w:t xml:space="preserve"> kako slijedi; </w:t>
      </w:r>
    </w:p>
    <w:p w14:paraId="1B239053" w14:textId="77777777" w:rsidR="00B52695" w:rsidRPr="00816D31" w:rsidRDefault="00B52695" w:rsidP="00644C13">
      <w:pPr>
        <w:pStyle w:val="Odlomakpopisa"/>
        <w:ind w:left="0"/>
        <w:jc w:val="both"/>
        <w:rPr>
          <w:rFonts w:ascii="Arial" w:hAnsi="Arial" w:cs="Arial"/>
        </w:rPr>
      </w:pPr>
    </w:p>
    <w:tbl>
      <w:tblPr>
        <w:tblW w:w="8978" w:type="dxa"/>
        <w:tblLook w:val="04A0" w:firstRow="1" w:lastRow="0" w:firstColumn="1" w:lastColumn="0" w:noHBand="0" w:noVBand="1"/>
      </w:tblPr>
      <w:tblGrid>
        <w:gridCol w:w="730"/>
        <w:gridCol w:w="2766"/>
        <w:gridCol w:w="1021"/>
        <w:gridCol w:w="852"/>
        <w:gridCol w:w="921"/>
        <w:gridCol w:w="921"/>
        <w:gridCol w:w="697"/>
        <w:gridCol w:w="1070"/>
      </w:tblGrid>
      <w:tr w:rsidR="003A09AE" w:rsidRPr="003A09AE" w14:paraId="4B09A79D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E47C4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81575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FF5A86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Početno stanje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40A4F1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04785B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Promet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8A2DDA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0DC22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Saldo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DE810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 </w:t>
            </w:r>
          </w:p>
        </w:tc>
      </w:tr>
      <w:tr w:rsidR="003A09AE" w:rsidRPr="003A09AE" w14:paraId="08FBC5F6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700E5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Broj računa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E33DC8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Naziv računa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C5E625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Duguje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1ACDAC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Potražuje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50FABE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Duguje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B02F9E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Potražuje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1F816F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Duguje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B572A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Potražuje</w:t>
            </w:r>
          </w:p>
        </w:tc>
      </w:tr>
      <w:tr w:rsidR="003A09AE" w:rsidRPr="003A09AE" w14:paraId="43594E5C" w14:textId="77777777" w:rsidTr="00125A77">
        <w:trPr>
          <w:trHeight w:val="348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3DE633A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OSTALO</w:t>
            </w:r>
          </w:p>
        </w:tc>
      </w:tr>
      <w:tr w:rsidR="003A09AE" w:rsidRPr="003A09AE" w14:paraId="6C8A36CC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0972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231110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7351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Obveze za zaposlene i privremeno zaposlene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11DD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1DC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5AF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127.301,75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C9B7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146.694,78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415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0BA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19.393,03</w:t>
            </w:r>
          </w:p>
        </w:tc>
      </w:tr>
      <w:tr w:rsidR="003A09AE" w:rsidRPr="003A09AE" w14:paraId="4D6C8167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193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231210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5E6A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Obveze za bolovanje na teret poslodavca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053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98C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E26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7AE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3.150,00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DDB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9DBF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3.150,00</w:t>
            </w:r>
          </w:p>
        </w:tc>
      </w:tr>
      <w:tr w:rsidR="003A09AE" w:rsidRPr="003A09AE" w14:paraId="0CFB71A4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1E2A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231320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B119E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Računski plan nastao konverzijom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A48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B4F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3CB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10.270,96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9E3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10.270,96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540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BB3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714D12AC" w14:textId="77777777" w:rsidTr="00125A77">
        <w:trPr>
          <w:trHeight w:val="49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597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231620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B657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Obveze za doprinose za obvezno zdravstveno osiguranje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A9F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5E7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22B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10.733,82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DF3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13.933,67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A8B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070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3.199,85</w:t>
            </w:r>
          </w:p>
        </w:tc>
      </w:tr>
      <w:tr w:rsidR="003A09AE" w:rsidRPr="003A09AE" w14:paraId="5739C8AC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31BE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232110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B172B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C1F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BF3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EB2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514,00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7A4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514,00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CF9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56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5D6416A8" w14:textId="77777777" w:rsidTr="00125A77">
        <w:trPr>
          <w:trHeight w:val="49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54E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232120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A541A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1AA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1F4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1573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1.022,35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C62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1.173,24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A24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344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150,89</w:t>
            </w:r>
          </w:p>
        </w:tc>
      </w:tr>
      <w:tr w:rsidR="003A09AE" w:rsidRPr="003A09AE" w14:paraId="3810A49C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1D12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232130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626E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9DA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BD7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BE0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25,00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861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25,00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8DC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E32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2EF0DCFA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C7EB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232210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D6BA6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7AB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E6A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365,02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37D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1.742,55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9B1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1.390,59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5C4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0B7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13,06</w:t>
            </w:r>
          </w:p>
        </w:tc>
      </w:tr>
      <w:tr w:rsidR="003A09AE" w:rsidRPr="003A09AE" w14:paraId="29046F1D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294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232220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D729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D0E3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4E6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2.554,25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F1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14.670,12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88B2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12.356,56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DCD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3B0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240,69</w:t>
            </w:r>
          </w:p>
        </w:tc>
      </w:tr>
      <w:tr w:rsidR="003A09AE" w:rsidRPr="003A09AE" w14:paraId="62727112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7C0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232230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D35B6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70E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AD2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357,06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A8F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1.904,84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439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1.547,78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3B5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4EE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03674487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9D2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232310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0A971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459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ACA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52,58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9E5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709,74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413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657,16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3A5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E16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0B166079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9854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232320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CAB93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172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B4B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F5F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137,50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F4C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566,00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326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872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428,50</w:t>
            </w:r>
          </w:p>
        </w:tc>
      </w:tr>
      <w:tr w:rsidR="003A09AE" w:rsidRPr="003A09AE" w14:paraId="63D5DFD4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C71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232340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6967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925F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2E5D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40,16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762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581,22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BF1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623,29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C347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402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82,23</w:t>
            </w:r>
          </w:p>
        </w:tc>
      </w:tr>
      <w:tr w:rsidR="003A09AE" w:rsidRPr="003A09AE" w14:paraId="4D88DC9B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ADEC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232360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4EB6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E93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ED85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01E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193,30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B4B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193,30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9F8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C9FD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4FE10469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FD27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232370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388A6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2D1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643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10F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1.085,49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BE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1.085,49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E5C7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E599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357B8D7A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0438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232920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75842E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962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2DE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120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438,78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238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438,78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F5F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C00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0,01</w:t>
            </w:r>
          </w:p>
        </w:tc>
      </w:tr>
      <w:tr w:rsidR="003A09AE" w:rsidRPr="003A09AE" w14:paraId="3708931F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541D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232990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AD1B8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835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986B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055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798,49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4EA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798,49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00EF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A75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2FD05C4B" w14:textId="77777777" w:rsidTr="00125A77">
        <w:trPr>
          <w:trHeight w:val="49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DB2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234310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4980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 xml:space="preserve">Obveze za bankarske usluge i usluge platnog prometa         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0540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4C8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84,73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C0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139,08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EAB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54,35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0A3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74C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color w:val="auto"/>
                <w:sz w:val="14"/>
                <w:szCs w:val="14"/>
              </w:rPr>
              <w:t>0,00</w:t>
            </w:r>
          </w:p>
        </w:tc>
      </w:tr>
      <w:tr w:rsidR="003A09AE" w:rsidRPr="003A09AE" w14:paraId="12430E1D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81F6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23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3969C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Obveze za rashode poslovanja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82CA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47F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3.453,81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8F1F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172.268,99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8CC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195.473,44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7313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968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auto"/>
                <w:sz w:val="14"/>
                <w:szCs w:val="14"/>
              </w:rPr>
              <w:t>26.658,26</w:t>
            </w:r>
          </w:p>
        </w:tc>
      </w:tr>
      <w:tr w:rsidR="003A09AE" w:rsidRPr="003A09AE" w14:paraId="3C644C7E" w14:textId="77777777" w:rsidTr="00125A77">
        <w:trPr>
          <w:trHeight w:val="24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811EF1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18CC410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Obveze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4A82B6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85655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3.453,81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8DCA0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172.268,99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8BEE9E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195.473,44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4E044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0712AD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26.658,26</w:t>
            </w:r>
          </w:p>
        </w:tc>
      </w:tr>
      <w:tr w:rsidR="003A09AE" w:rsidRPr="003A09AE" w14:paraId="5E7A0157" w14:textId="77777777" w:rsidTr="00125A77">
        <w:trPr>
          <w:trHeight w:val="24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6ED748D9" w14:textId="77777777" w:rsidR="003A09AE" w:rsidRPr="003A09AE" w:rsidRDefault="003A09AE" w:rsidP="003A0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Ukupno za ostalo: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5412AD2F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6B8AC3C1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3.453,81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4584C198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172.268,99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1103AF13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195.473,44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556030FC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noWrap/>
            <w:vAlign w:val="bottom"/>
            <w:hideMark/>
          </w:tcPr>
          <w:p w14:paraId="66441F84" w14:textId="77777777" w:rsidR="003A09AE" w:rsidRPr="003A09AE" w:rsidRDefault="003A09AE" w:rsidP="003A0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</w:pPr>
            <w:r w:rsidRPr="003A09AE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</w:rPr>
              <w:t>26.658,26</w:t>
            </w:r>
          </w:p>
        </w:tc>
      </w:tr>
    </w:tbl>
    <w:p w14:paraId="5324A096" w14:textId="77777777" w:rsidR="00816D31" w:rsidRPr="00816D31" w:rsidRDefault="00816D31" w:rsidP="00644C13">
      <w:pPr>
        <w:pStyle w:val="Odlomakpopisa"/>
        <w:ind w:left="0"/>
        <w:jc w:val="both"/>
        <w:rPr>
          <w:rFonts w:ascii="Arial" w:hAnsi="Arial" w:cs="Arial"/>
        </w:rPr>
      </w:pPr>
    </w:p>
    <w:p w14:paraId="19EDF10F" w14:textId="77777777" w:rsidR="00125A77" w:rsidRDefault="00125A77" w:rsidP="002074B9">
      <w:pPr>
        <w:rPr>
          <w:rFonts w:ascii="Arial" w:hAnsi="Arial" w:cs="Arial"/>
          <w:b/>
        </w:rPr>
      </w:pPr>
    </w:p>
    <w:p w14:paraId="7D85D60D" w14:textId="77777777" w:rsidR="00125A77" w:rsidRDefault="00125A77" w:rsidP="002074B9">
      <w:pPr>
        <w:rPr>
          <w:rFonts w:ascii="Arial" w:hAnsi="Arial" w:cs="Arial"/>
          <w:b/>
        </w:rPr>
      </w:pPr>
    </w:p>
    <w:p w14:paraId="2D1377A3" w14:textId="77777777" w:rsidR="00125A77" w:rsidRDefault="00125A77" w:rsidP="002074B9">
      <w:pPr>
        <w:rPr>
          <w:rFonts w:ascii="Arial" w:hAnsi="Arial" w:cs="Arial"/>
          <w:b/>
        </w:rPr>
      </w:pPr>
    </w:p>
    <w:p w14:paraId="0CABC03C" w14:textId="77777777" w:rsidR="00125A77" w:rsidRDefault="00125A77" w:rsidP="002074B9">
      <w:pPr>
        <w:rPr>
          <w:rFonts w:ascii="Arial" w:hAnsi="Arial" w:cs="Arial"/>
          <w:b/>
        </w:rPr>
      </w:pPr>
    </w:p>
    <w:p w14:paraId="2B28ACF9" w14:textId="77777777" w:rsidR="00125A77" w:rsidRDefault="00125A77" w:rsidP="002074B9">
      <w:pPr>
        <w:rPr>
          <w:rFonts w:ascii="Arial" w:hAnsi="Arial" w:cs="Arial"/>
          <w:b/>
        </w:rPr>
      </w:pPr>
    </w:p>
    <w:tbl>
      <w:tblPr>
        <w:tblStyle w:val="ivopisnatablicapopisa6"/>
        <w:tblW w:w="9818" w:type="dxa"/>
        <w:tblLook w:val="06A0" w:firstRow="1" w:lastRow="0" w:firstColumn="1" w:lastColumn="0" w:noHBand="1" w:noVBand="1"/>
      </w:tblPr>
      <w:tblGrid>
        <w:gridCol w:w="282"/>
        <w:gridCol w:w="1747"/>
        <w:gridCol w:w="5152"/>
        <w:gridCol w:w="801"/>
        <w:gridCol w:w="1836"/>
      </w:tblGrid>
      <w:tr w:rsidR="00FC448A" w:rsidRPr="00BC0732" w14:paraId="66CD40A1" w14:textId="77777777" w:rsidTr="00BC0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640C7396" w14:textId="77777777" w:rsidR="00FC448A" w:rsidRPr="00BC0732" w:rsidRDefault="00FC448A" w:rsidP="00FC448A">
            <w:pPr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6899" w:type="dxa"/>
            <w:gridSpan w:val="2"/>
            <w:hideMark/>
          </w:tcPr>
          <w:p w14:paraId="4CBB406C" w14:textId="77777777" w:rsidR="00FC448A" w:rsidRPr="00BC0732" w:rsidRDefault="00FC448A" w:rsidP="00FC44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Glava  003       01  Dječji vrtić Iskrica Lipovljani</w:t>
            </w:r>
          </w:p>
        </w:tc>
        <w:tc>
          <w:tcPr>
            <w:tcW w:w="801" w:type="dxa"/>
            <w:hideMark/>
          </w:tcPr>
          <w:p w14:paraId="46A33D89" w14:textId="77777777" w:rsidR="00FC448A" w:rsidRPr="00BC0732" w:rsidRDefault="00FC448A" w:rsidP="00FC44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36" w:type="dxa"/>
            <w:hideMark/>
          </w:tcPr>
          <w:p w14:paraId="7F7C837D" w14:textId="2F1DD392" w:rsidR="00FC448A" w:rsidRPr="00BC0732" w:rsidRDefault="00FC448A" w:rsidP="00FC44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310DE">
              <w:t>195.361,94</w:t>
            </w:r>
          </w:p>
        </w:tc>
      </w:tr>
      <w:tr w:rsidR="00FC448A" w:rsidRPr="00BC0732" w14:paraId="59248DD4" w14:textId="77777777" w:rsidTr="00BC0732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6B3541D1" w14:textId="77777777" w:rsidR="00FC448A" w:rsidRPr="00BC0732" w:rsidRDefault="00FC448A" w:rsidP="00FC448A">
            <w:pPr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99" w:type="dxa"/>
            <w:gridSpan w:val="2"/>
            <w:hideMark/>
          </w:tcPr>
          <w:p w14:paraId="752AED41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Proračunski korisnik  003       01        38358  Dječji vrtić Iskrica Lipovljani</w:t>
            </w:r>
          </w:p>
        </w:tc>
        <w:tc>
          <w:tcPr>
            <w:tcW w:w="801" w:type="dxa"/>
            <w:hideMark/>
          </w:tcPr>
          <w:p w14:paraId="0ADCBA0C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6" w:type="dxa"/>
            <w:hideMark/>
          </w:tcPr>
          <w:p w14:paraId="50DA1355" w14:textId="0F1840B9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0DE">
              <w:t>195.361,94</w:t>
            </w:r>
          </w:p>
        </w:tc>
      </w:tr>
      <w:tr w:rsidR="00FC448A" w:rsidRPr="00BC0732" w14:paraId="2969A93C" w14:textId="77777777" w:rsidTr="00BC0732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6A61D1B5" w14:textId="77777777" w:rsidR="00FC448A" w:rsidRPr="00BC0732" w:rsidRDefault="00FC448A" w:rsidP="00FC448A">
            <w:pPr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99" w:type="dxa"/>
            <w:gridSpan w:val="2"/>
            <w:hideMark/>
          </w:tcPr>
          <w:p w14:paraId="45B708D6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Program  A12 1007  PREDŠKOLSKI ODGOJ</w:t>
            </w:r>
          </w:p>
        </w:tc>
        <w:tc>
          <w:tcPr>
            <w:tcW w:w="801" w:type="dxa"/>
            <w:hideMark/>
          </w:tcPr>
          <w:p w14:paraId="19DACBCB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6" w:type="dxa"/>
            <w:hideMark/>
          </w:tcPr>
          <w:p w14:paraId="79C8DA3F" w14:textId="7BA9B5EA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0DE">
              <w:t>195.361,94</w:t>
            </w:r>
          </w:p>
        </w:tc>
      </w:tr>
      <w:tr w:rsidR="00BC0732" w:rsidRPr="00BC0732" w14:paraId="2FF11AFF" w14:textId="77777777" w:rsidTr="00BC0732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558E307F" w14:textId="77777777" w:rsidR="00BC0732" w:rsidRPr="00BC0732" w:rsidRDefault="00BC0732" w:rsidP="00BC0732">
            <w:pPr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99" w:type="dxa"/>
            <w:gridSpan w:val="2"/>
            <w:hideMark/>
          </w:tcPr>
          <w:p w14:paraId="4AE75FD6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Aktivnost  A12 1007A100001  RASHODI ZA ZAPOSLENE</w:t>
            </w:r>
          </w:p>
        </w:tc>
        <w:tc>
          <w:tcPr>
            <w:tcW w:w="801" w:type="dxa"/>
            <w:hideMark/>
          </w:tcPr>
          <w:p w14:paraId="29547D92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073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6" w:type="dxa"/>
            <w:hideMark/>
          </w:tcPr>
          <w:p w14:paraId="296201F0" w14:textId="57FB0A53" w:rsidR="00BC0732" w:rsidRPr="00BC0732" w:rsidRDefault="00FC448A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A">
              <w:rPr>
                <w:rFonts w:ascii="Arial" w:hAnsi="Arial" w:cs="Arial"/>
                <w:b/>
                <w:bCs/>
                <w:sz w:val="18"/>
                <w:szCs w:val="18"/>
              </w:rPr>
              <w:t>175.736,65</w:t>
            </w:r>
            <w:r w:rsidRPr="00FC448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BC0732" w:rsidRPr="00BC0732" w14:paraId="268A03B1" w14:textId="77777777" w:rsidTr="00FC448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4FA57510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1988CB25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Zakonska osnova:</w:t>
            </w:r>
          </w:p>
        </w:tc>
        <w:tc>
          <w:tcPr>
            <w:tcW w:w="7789" w:type="dxa"/>
            <w:gridSpan w:val="3"/>
            <w:hideMark/>
          </w:tcPr>
          <w:p w14:paraId="2FE6063C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 o predškolskom odgoju i obrazovanju (NN 10/97 ,107/07, 94/13, 98/19)  Zakon o financiranju jedinica lokalne i područne (regionalne ) samouprave (NN 127/17) Zakon o lokalnoj i područnoj (regionalnoj) samoupravi (NN 33/01, 60/01, 129/05, 109/07, 125/08, 36/09, 150/11, 144/12, 19/13, 137/15, 123/17, 98/19)</w:t>
            </w:r>
          </w:p>
        </w:tc>
      </w:tr>
      <w:tr w:rsidR="00BC0732" w:rsidRPr="00BC0732" w14:paraId="40D19E2E" w14:textId="77777777" w:rsidTr="00FC448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17BC5340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2ED28FB3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Opis:</w:t>
            </w:r>
          </w:p>
        </w:tc>
        <w:tc>
          <w:tcPr>
            <w:tcW w:w="7789" w:type="dxa"/>
            <w:gridSpan w:val="3"/>
            <w:hideMark/>
          </w:tcPr>
          <w:p w14:paraId="5EDF8A83" w14:textId="0BBAB7F0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"Programi koji se provode su  desetosatni program,on doprinosi povoljnom cjelovitom razvoju osobnosti djeteta ( tjelesnom i psihomotornom razvoju, socio-emocionalnom i razvoju ličnosti, spoznajnom razvoju, govoru, komunikaciji, izražavanju i stvaralaštvu), i kvaliteti njegova življenja , provodi se i petosatni program ( igraonica), djeca u ov</w:t>
            </w:r>
            <w:r w:rsidRPr="00B365E0">
              <w:rPr>
                <w:rFonts w:ascii="Arial" w:hAnsi="Arial" w:cs="Arial"/>
                <w:sz w:val="18"/>
                <w:szCs w:val="18"/>
              </w:rPr>
              <w:t>o</w:t>
            </w:r>
            <w:r w:rsidRPr="00BC0732">
              <w:rPr>
                <w:rFonts w:ascii="Arial" w:hAnsi="Arial" w:cs="Arial"/>
                <w:sz w:val="18"/>
                <w:szCs w:val="18"/>
              </w:rPr>
              <w:t>me programu borave do 5 sati.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-Program predškole.</w:t>
            </w:r>
            <w:r w:rsidRPr="00B365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>U skladu s Nacionalnim kurikulumom za ranim i predškolskim odgojem i obrazovanjem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život.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Programi se provode u skladu sa suvremenom koncepcijom ranog i predškolskog odgoja i obrazovanja, polazeći od stvarnih potreba djeteta i njegove osobnosti te se kontinuirano usklađuje s nacionalnim zahtjevima koji su sastavni dio Nacionalnog kurikuluma za rani i predškolski odgoj i obrazovanje.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Redoviti desetosatni program i petosatni program  provode se u objektu vrtića u vremenu od 6.00 – 16.00 sati.  Program Predškole za djecu koja nisu uključena u redovne programe ,provodi se dva puta tjedno po 2,5 sata u periodu od 9.00-11.30 sati ,   realizira se u prostoru iznad Narodne knjižnice i čitaonice , prostor koji je  Općina Lipovljani darovala  je  na korištenje DV Iskrica. Prostor je namješten i uređen po standardima predškolskog odgoja i zadovoljava sve kriterije neophodne za djetetov normalan rast i razvoj.</w:t>
            </w:r>
          </w:p>
        </w:tc>
      </w:tr>
      <w:tr w:rsidR="00BC0732" w:rsidRPr="00BC0732" w14:paraId="58D58131" w14:textId="77777777" w:rsidTr="00FC448A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44AE1557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65758125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Opći cilj:</w:t>
            </w:r>
          </w:p>
        </w:tc>
        <w:tc>
          <w:tcPr>
            <w:tcW w:w="7789" w:type="dxa"/>
            <w:gridSpan w:val="3"/>
            <w:hideMark/>
          </w:tcPr>
          <w:p w14:paraId="67E860C6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Odgoj i obrazovanje djece rane i predškolske dobi temeljem nacionalnog kurikuluma </w:t>
            </w:r>
          </w:p>
        </w:tc>
      </w:tr>
      <w:tr w:rsidR="00BC0732" w:rsidRPr="00BC0732" w14:paraId="0F929096" w14:textId="77777777" w:rsidTr="00FC448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11CA18E8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112A4989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Posebni ciljevi:</w:t>
            </w:r>
          </w:p>
        </w:tc>
        <w:tc>
          <w:tcPr>
            <w:tcW w:w="7789" w:type="dxa"/>
            <w:gridSpan w:val="3"/>
            <w:hideMark/>
          </w:tcPr>
          <w:p w14:paraId="1E53CAAA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Odgojno obrazovni rad s djecom predškolske dobi ,poticanje cjelovitog razvoja djeteta uvažavajući individualne razvojne potrebe i mogućnosti djece, njega i skrb za svako pojedino dijete, uvažavanje individualnih razlika i potreba djece, socijalizacija djece sa posebnim potrebama</w:t>
            </w:r>
          </w:p>
        </w:tc>
      </w:tr>
      <w:tr w:rsidR="00BC0732" w:rsidRPr="00BC0732" w14:paraId="6B6B8752" w14:textId="77777777" w:rsidTr="00FC448A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04C18025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0E5DC105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Pokazatelj uspješnosti:</w:t>
            </w:r>
          </w:p>
        </w:tc>
        <w:tc>
          <w:tcPr>
            <w:tcW w:w="7789" w:type="dxa"/>
            <w:gridSpan w:val="3"/>
            <w:hideMark/>
          </w:tcPr>
          <w:p w14:paraId="3DC28B6C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Organizacija rada u 2024./2025. planira se izvršiti rukovodeći se državnim pedagoškim standardima predškolskog odgoja i naobrazbe(„Narodne novine“, br.68/08).Poštujući zakonske propise i suvremena dostignuća u pedagoškom odgoju , skupine su formirane prema dobnim karakteristikama – mlađa mješovita skupina Leptirići (3-4 god.) ima 25 djeteta, starija mješovita Kockice (5-7 god.) ima 24 djece , poludnevni Pčelice (4-7 g) ima  22 djece i Mala škola (6-7 god.) ima 7 djece.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 xml:space="preserve">Ukupan broj zaposlenih je 9, od toga 7 odgajatelja  i 2 pomoćno osoblje.  Jedan odgajatelj   obavlja i poslove ravnatelja. Vrtić radi u vremenu prilagođenom potrebama roditelja ,od 6.00 – 16.00 sati. Program Predškole održava se u periodu od 9.00-11.30 sati.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Sredstva za plaće i materijalna prava osigurana su općinskim proračunom i djelomično iz sredstava za fiskalnu održivost ( Vlada RH i MO) te iz Središnjeg državnog ureda za demografiju i mlade.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 xml:space="preserve">" </w:t>
            </w:r>
          </w:p>
        </w:tc>
      </w:tr>
      <w:tr w:rsidR="00BC0732" w:rsidRPr="00BC0732" w14:paraId="43C24588" w14:textId="77777777" w:rsidTr="00BC073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173353DF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6899" w:type="dxa"/>
            <w:gridSpan w:val="2"/>
            <w:hideMark/>
          </w:tcPr>
          <w:p w14:paraId="272547E3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Aktivnost  A12 1007A100002  MATERIJALNI I FINANCIJSKI RASHODI</w:t>
            </w:r>
          </w:p>
        </w:tc>
        <w:tc>
          <w:tcPr>
            <w:tcW w:w="801" w:type="dxa"/>
            <w:hideMark/>
          </w:tcPr>
          <w:p w14:paraId="5C4399F1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36" w:type="dxa"/>
            <w:hideMark/>
          </w:tcPr>
          <w:p w14:paraId="2875A185" w14:textId="2D9B5D19" w:rsidR="00BC0732" w:rsidRPr="00BC0732" w:rsidRDefault="00FC448A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8A">
              <w:rPr>
                <w:rFonts w:ascii="Arial" w:hAnsi="Arial" w:cs="Arial"/>
                <w:sz w:val="18"/>
                <w:szCs w:val="18"/>
              </w:rPr>
              <w:t>19.491,80</w:t>
            </w:r>
            <w:r w:rsidRPr="00FC448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C0732" w:rsidRPr="00BC0732" w14:paraId="35E61146" w14:textId="77777777" w:rsidTr="00FC448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0EF2408F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7EA372BB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Zakonska osnova:</w:t>
            </w:r>
          </w:p>
        </w:tc>
        <w:tc>
          <w:tcPr>
            <w:tcW w:w="7789" w:type="dxa"/>
            <w:gridSpan w:val="3"/>
            <w:hideMark/>
          </w:tcPr>
          <w:p w14:paraId="5F756665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 o predškolskom odgoju i obrazovanju (NN 10/97 ,107/07, 94/13, 98/19)  Zakon o financiranju jedinica lokalne i područne (regionalne ) samouprave (NN 127/17) Zakon o lokalnoj i područnoj (regionalnoj) samoupravi (NN 33/01, 60/01, 129/05, 109/07, 125/08, 36/09, 150/11, 144/12, 19/13, 137/15, 123/17, 98/19)</w:t>
            </w:r>
          </w:p>
        </w:tc>
      </w:tr>
      <w:tr w:rsidR="00BC0732" w:rsidRPr="00BC0732" w14:paraId="58EB56F0" w14:textId="77777777" w:rsidTr="00FC448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56318970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457273D1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Opis:</w:t>
            </w:r>
          </w:p>
        </w:tc>
        <w:tc>
          <w:tcPr>
            <w:tcW w:w="7789" w:type="dxa"/>
            <w:gridSpan w:val="3"/>
            <w:hideMark/>
          </w:tcPr>
          <w:p w14:paraId="52D1E281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Odgojno obrazovni rad s djecom predškolske dobi ,poticanje cjelovitog razvoja djeteta uvažavajući individualne razvojne potrebe i mogućnosti djece, njega i skrb za svako pojedino dijete, uvažavanje individualnih razlika i potreba djece, socijalizacija djece sa posebnim potrebama. Trenutan kapacitet djece broji ukupno 60 djece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 xml:space="preserve">Izvori financiranja za materijalne i financijske rashode su ;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Participacija roditelja plaćanjem računa u visini od 58,40 eura mjesečno za dnevni ,poludnevni 39,80 eura te dnevni za djecu izvan općine 49,80 eura.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Tekuće pomoći iz državnog proračuna /Središnji državni ured za demografiju i mlade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</w:r>
            <w:r w:rsidRPr="00BC0732">
              <w:rPr>
                <w:rFonts w:ascii="Arial" w:hAnsi="Arial" w:cs="Arial"/>
                <w:sz w:val="18"/>
                <w:szCs w:val="18"/>
              </w:rPr>
              <w:lastRenderedPageBreak/>
              <w:t xml:space="preserve">Tekuće pomoći iz državnog proračuna / Odluka Vlade RH u partnerstvu sa Ministarstvom obrazovanja za fiskalnu održivost vrtića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 xml:space="preserve">Tekuće pomoći iz državnog proračuna /Ministarstvo obrazovanja za rad predškole i za djecu s poteškoćama u razvoju </w:t>
            </w:r>
          </w:p>
        </w:tc>
      </w:tr>
      <w:tr w:rsidR="00BC0732" w:rsidRPr="00BC0732" w14:paraId="1E8AEDEA" w14:textId="77777777" w:rsidTr="00FC448A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57731A7D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47" w:type="dxa"/>
            <w:hideMark/>
          </w:tcPr>
          <w:p w14:paraId="75CC1D6D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Opći cilj:</w:t>
            </w:r>
          </w:p>
        </w:tc>
        <w:tc>
          <w:tcPr>
            <w:tcW w:w="7789" w:type="dxa"/>
            <w:gridSpan w:val="3"/>
            <w:hideMark/>
          </w:tcPr>
          <w:p w14:paraId="3291CDA4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Odgoj i obrazovanje djece rane i predškolske dobi temeljem nacionalnog kurikuluma 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Financiranje redovnog poslovanja Dječjeg vrtića Iskrica</w:t>
            </w:r>
          </w:p>
        </w:tc>
      </w:tr>
      <w:tr w:rsidR="00BC0732" w:rsidRPr="00BC0732" w14:paraId="142399F5" w14:textId="77777777" w:rsidTr="00FC448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52D5DB9C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7156D2F3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Posebni ciljevi:</w:t>
            </w:r>
          </w:p>
        </w:tc>
        <w:tc>
          <w:tcPr>
            <w:tcW w:w="7789" w:type="dxa"/>
            <w:gridSpan w:val="3"/>
            <w:hideMark/>
          </w:tcPr>
          <w:p w14:paraId="2AE7A7F8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Financiranje redovnog poslovanja Dječjeg vrtića Iskrica</w:t>
            </w:r>
          </w:p>
        </w:tc>
      </w:tr>
      <w:tr w:rsidR="00BC0732" w:rsidRPr="00BC0732" w14:paraId="6A4CB97F" w14:textId="77777777" w:rsidTr="00FC448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34D5FCB5" w14:textId="77777777" w:rsidR="00BC0732" w:rsidRPr="00BC0732" w:rsidRDefault="00BC0732" w:rsidP="00BC073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104C8825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Pokazatelj uspješnosti:</w:t>
            </w:r>
          </w:p>
        </w:tc>
        <w:tc>
          <w:tcPr>
            <w:tcW w:w="7789" w:type="dxa"/>
            <w:gridSpan w:val="3"/>
            <w:hideMark/>
          </w:tcPr>
          <w:p w14:paraId="630FA57E" w14:textId="77777777" w:rsidR="00BC0732" w:rsidRPr="00BC0732" w:rsidRDefault="00BC0732" w:rsidP="00BC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Održivost djelatnosti predškolskog odgoja na području Općine Lipovljani sukladno planom i programom za pedagošku godinu 2023/2024</w:t>
            </w:r>
          </w:p>
        </w:tc>
      </w:tr>
      <w:tr w:rsidR="00FC448A" w:rsidRPr="00BC0732" w14:paraId="69860242" w14:textId="77777777" w:rsidTr="000345D7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1C753E77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6899" w:type="dxa"/>
            <w:gridSpan w:val="2"/>
            <w:hideMark/>
          </w:tcPr>
          <w:p w14:paraId="58EA2256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Aktivnost  A12 1007A100003  PROGRAM PREDŠKOLE</w:t>
            </w:r>
          </w:p>
        </w:tc>
        <w:tc>
          <w:tcPr>
            <w:tcW w:w="801" w:type="dxa"/>
            <w:hideMark/>
          </w:tcPr>
          <w:p w14:paraId="2934258B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11957" w14:textId="2A1992D3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133,49</w:t>
            </w:r>
          </w:p>
        </w:tc>
      </w:tr>
      <w:tr w:rsidR="00FC448A" w:rsidRPr="00BC0732" w14:paraId="0938371C" w14:textId="77777777" w:rsidTr="00FC448A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55118E25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1D86F810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Zakonska osnova:</w:t>
            </w:r>
          </w:p>
        </w:tc>
        <w:tc>
          <w:tcPr>
            <w:tcW w:w="7789" w:type="dxa"/>
            <w:gridSpan w:val="3"/>
            <w:hideMark/>
          </w:tcPr>
          <w:p w14:paraId="5DE73063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Zakon o predškolskom odgoju i obrazovanju (NN 10/97 ,107/07, 94/13, 98/19)  Zakon o financiranju jedinica lokalne i područne (regionalne ) samouprave (NN 127/17) Zakon o lokalnoj i područnoj (regionalnoj) samoupravi (NN 33/01, 60/01, 129/05, 109/07, 125/08, 36/09, 150/11, 144/12, 19/13, 137/15, 123/17, 98/19)</w:t>
            </w:r>
          </w:p>
        </w:tc>
      </w:tr>
      <w:tr w:rsidR="00FC448A" w:rsidRPr="00BC0732" w14:paraId="02694E57" w14:textId="77777777" w:rsidTr="00FC448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4CA6EB49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vMerge w:val="restart"/>
            <w:hideMark/>
          </w:tcPr>
          <w:p w14:paraId="3A9D3F9D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Opis:</w:t>
            </w:r>
          </w:p>
          <w:p w14:paraId="3D9E39AF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A17CBA2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89" w:type="dxa"/>
            <w:gridSpan w:val="3"/>
            <w:vMerge w:val="restart"/>
            <w:hideMark/>
          </w:tcPr>
          <w:p w14:paraId="7DEBF69D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"Programi se provode u skladu sa suvremenom koncepcijom ranog i predškolskog odgoja i obrazovanja, polazeći od stvarnih potreba djeteta i njegove </w:t>
            </w:r>
          </w:p>
          <w:p w14:paraId="6060F379" w14:textId="0B9BEB33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osobnosti te se kontinuirano usklađuje s nacionalnim zahtjevima koji su sastavni dio Nacionalnog kurikuluma za rani i predškolski odgoj i obrazovanje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Program Predškole se provodi se u redovnom cjelodnevnom i poludnevnom programu u trajanju od 500 sati godišnje i u skraćenom programu za djecu koja nisu uključena u redovne programe do 250sati godišnje.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 xml:space="preserve">Taj program odvija se dva puta tjedno po 2,5 sata u periodu od 9.00-11.30 sati) ,  realizira se u prostoru iznad Narodne knjižnice i čitaonice , prostor koji je  Općina Lipovljani darovala  je  na korištenje DV Iskrica. Prostor je namješten i uređen po standardima predškolskog odgoja i zadovoljava sve kriterije neophodne za djetetov normalan rast i razvoj" </w:t>
            </w:r>
          </w:p>
        </w:tc>
      </w:tr>
      <w:tr w:rsidR="00FC448A" w:rsidRPr="00BC0732" w14:paraId="51D7F25E" w14:textId="77777777" w:rsidTr="00FC448A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1CEF09DE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vMerge/>
            <w:hideMark/>
          </w:tcPr>
          <w:p w14:paraId="195A4E36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9" w:type="dxa"/>
            <w:gridSpan w:val="3"/>
            <w:vMerge/>
            <w:hideMark/>
          </w:tcPr>
          <w:p w14:paraId="38773FD0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448A" w:rsidRPr="00BC0732" w14:paraId="2A0A5FDE" w14:textId="77777777" w:rsidTr="00FC448A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6479D7E3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315C1434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Opći cilj:</w:t>
            </w:r>
          </w:p>
        </w:tc>
        <w:tc>
          <w:tcPr>
            <w:tcW w:w="7789" w:type="dxa"/>
            <w:gridSpan w:val="3"/>
            <w:hideMark/>
          </w:tcPr>
          <w:p w14:paraId="347FE895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 xml:space="preserve">Odgoj i obrazovanje djece rane i predškolske dobi temeljem nacionalnog kurikuluma </w:t>
            </w:r>
          </w:p>
        </w:tc>
      </w:tr>
      <w:tr w:rsidR="00FC448A" w:rsidRPr="00BC0732" w14:paraId="0002F80F" w14:textId="77777777" w:rsidTr="00FC448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6B0C82EA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5A073ED8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Posebni ciljevi:</w:t>
            </w:r>
          </w:p>
        </w:tc>
        <w:tc>
          <w:tcPr>
            <w:tcW w:w="7789" w:type="dxa"/>
            <w:gridSpan w:val="3"/>
            <w:hideMark/>
          </w:tcPr>
          <w:p w14:paraId="6302DDC7" w14:textId="383719D0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U skladu s Nacionalnim kurikulumom za ranim i predškolskim odgojem i obrazovanjem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život; Unapređivanje intelektualnog, društvenog, moralnog i duhovnog razvoja djece kroz stjecanje znanja, izgrađivanje identiteta, humanizam i toleranciju, odgovornost, autonomiju, kreativnost;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>Rad na grafo motoričkim, pred čitalačkim i pred matematičkim vještinama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Rad na Individualiziranim odgojno - obrazovnim programima s djecom s posebnim potrebama;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>Rad na Individualiziranim odgojno - obrazovnim programima s djecom s odgodama od škole ;Kako bi se stvorili optimalni uvjeti rada, a u cilju zadovoljavanja pedagoško zdravstvenih zahtjeva na ostvarivanju društvene brige o djeci pedškolskog uzrasta utvrdili smo bitne zadatke: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>snimiti potrebe za unapređivanje materijalnih uvjeta rada u svim odgojnim skupinama pridržavati se postojećeg pedagoškog standarda i nadograđivati ga ujednačiti uvjete u skupinama za razvoj samostalnosti kod djece</w:t>
            </w:r>
            <w:r w:rsidRPr="00BC0732">
              <w:rPr>
                <w:rFonts w:ascii="Arial" w:hAnsi="Arial" w:cs="Arial"/>
                <w:sz w:val="18"/>
                <w:szCs w:val="18"/>
              </w:rPr>
              <w:br/>
              <w:t>razvijati razvojno poticajnu sredinu u svim skupinama</w:t>
            </w:r>
          </w:p>
        </w:tc>
      </w:tr>
      <w:tr w:rsidR="00FC448A" w:rsidRPr="00BC0732" w14:paraId="3D32A0F6" w14:textId="77777777" w:rsidTr="00FC448A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dxa"/>
            <w:hideMark/>
          </w:tcPr>
          <w:p w14:paraId="0CF305FC" w14:textId="77777777" w:rsidR="00FC448A" w:rsidRPr="00BC0732" w:rsidRDefault="00FC448A" w:rsidP="00FC448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C073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</w:p>
        </w:tc>
        <w:tc>
          <w:tcPr>
            <w:tcW w:w="1747" w:type="dxa"/>
            <w:hideMark/>
          </w:tcPr>
          <w:p w14:paraId="6239404E" w14:textId="77777777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Pokazatelj uspješnosti:</w:t>
            </w:r>
          </w:p>
        </w:tc>
        <w:tc>
          <w:tcPr>
            <w:tcW w:w="7789" w:type="dxa"/>
            <w:gridSpan w:val="3"/>
            <w:hideMark/>
          </w:tcPr>
          <w:p w14:paraId="4964DB01" w14:textId="053374B1" w:rsidR="00FC448A" w:rsidRPr="00BC0732" w:rsidRDefault="00FC448A" w:rsidP="00FC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0732">
              <w:rPr>
                <w:rFonts w:ascii="Arial" w:hAnsi="Arial" w:cs="Arial"/>
                <w:sz w:val="18"/>
                <w:szCs w:val="18"/>
              </w:rPr>
              <w:t>Uspješno izvršenje programa nam je sretno i zadovoljno dijete.Za bolju procjenu koristimo se instrumentima  praćenja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0732">
              <w:rPr>
                <w:rFonts w:ascii="Arial" w:hAnsi="Arial" w:cs="Arial"/>
                <w:sz w:val="18"/>
                <w:szCs w:val="18"/>
              </w:rPr>
              <w:t xml:space="preserve">uspješnosti a to su nam  akcijska istraživanja, protokoli praćenja postignuća djece , skale procjene, ankete roditelja. Na temelju toga donosimo planove i aktivnosti za iduću godinu. Za 2024./2025. g. planiramo proširiti naše aktivnosti vezane uz motoričke i koordinacijske sposobnosti djece. Dobivena sredstvima za fiskalnu održivost(Vlada RH i MO) planiramo utrošiti za nabavku sprava i sportskih rekvizita (lopte raznih oblika i struktura, čunjevi, uže, strunjače, koluti, poligoni i sl.) Želimo poboljšatei motoričke i koordinacijske sposobnosti djece. Odgojitelji će proći i edukaciju vezanu za motoričke sposobnosti djece kroz seminare i radionice koje nudi AZOO na svojim stranicama. </w:t>
            </w:r>
          </w:p>
        </w:tc>
      </w:tr>
    </w:tbl>
    <w:p w14:paraId="2922C9B1" w14:textId="77777777" w:rsidR="00125A77" w:rsidRDefault="00125A77" w:rsidP="002074B9">
      <w:pPr>
        <w:rPr>
          <w:rFonts w:ascii="Arial" w:hAnsi="Arial" w:cs="Arial"/>
          <w:b/>
        </w:rPr>
      </w:pPr>
    </w:p>
    <w:p w14:paraId="4A6CC36D" w14:textId="77777777" w:rsidR="00FC448A" w:rsidRDefault="00FC448A" w:rsidP="002074B9">
      <w:pPr>
        <w:rPr>
          <w:rFonts w:ascii="Arial" w:hAnsi="Arial" w:cs="Arial"/>
          <w:b/>
        </w:rPr>
      </w:pPr>
    </w:p>
    <w:p w14:paraId="02AEC11F" w14:textId="77777777" w:rsidR="00FC448A" w:rsidRDefault="00FC448A" w:rsidP="002074B9">
      <w:pPr>
        <w:rPr>
          <w:rFonts w:ascii="Arial" w:hAnsi="Arial" w:cs="Arial"/>
          <w:b/>
        </w:rPr>
      </w:pPr>
    </w:p>
    <w:p w14:paraId="4A2875B4" w14:textId="49920AA2" w:rsidR="002074B9" w:rsidRPr="00457B62" w:rsidRDefault="00C4622E" w:rsidP="002074B9">
      <w:pPr>
        <w:rPr>
          <w:rFonts w:ascii="Arial" w:hAnsi="Arial" w:cs="Arial"/>
          <w:b/>
        </w:rPr>
      </w:pPr>
      <w:r w:rsidRPr="00B370A0">
        <w:rPr>
          <w:rFonts w:ascii="Arial" w:hAnsi="Arial" w:cs="Arial"/>
          <w:b/>
        </w:rPr>
        <w:t xml:space="preserve">Aktivnosti </w:t>
      </w:r>
      <w:r>
        <w:rPr>
          <w:rFonts w:ascii="Arial" w:hAnsi="Arial" w:cs="Arial"/>
          <w:b/>
        </w:rPr>
        <w:t>u 202</w:t>
      </w:r>
      <w:r w:rsidR="00BB334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.g</w:t>
      </w:r>
      <w:r w:rsidR="00457B62">
        <w:rPr>
          <w:rFonts w:ascii="Arial" w:hAnsi="Arial" w:cs="Arial"/>
          <w:b/>
        </w:rPr>
        <w:t>.</w:t>
      </w:r>
    </w:p>
    <w:p w14:paraId="0D386338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lastRenderedPageBreak/>
        <w:t xml:space="preserve">Siječanj: Organizirana je predstava za djecu  u izvedbi „Šareni svijet“ . Predstava se održala u prostoru Narodne knjižnice. </w:t>
      </w:r>
    </w:p>
    <w:p w14:paraId="47431EB4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Djeca su SDB( soba dnevnog boravka) organizirala Malo kazalište za štapne lutke. Nabavljeni su potrebni materijali za izradu štapnih lutaka(razni šareni materijali, šljokice, štapići. trakice i sl.). Roditelji su pozvani da posjete skupinu i pomognu u izradi. Zainteresirani roditelji boravili su u skupini petkom.</w:t>
      </w:r>
    </w:p>
    <w:p w14:paraId="74FDC48A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Voditelji aktivnosti su  odgajatelji,  djeca i roditelji.</w:t>
      </w:r>
    </w:p>
    <w:p w14:paraId="4669EA94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 xml:space="preserve">Veljača: Organiziran istraživački centar , pokusi sa sodom bikarbonom, octom, sapunicom ,tuš u  boji, promatranje kroz mikroskop, lutka sa dijelovima tijela, sadnja sjemenki u zemlju i pijesak. </w:t>
      </w:r>
    </w:p>
    <w:p w14:paraId="685900C3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Nabavljene su i plastične kuglice koje bubre u vodi i organizirane igre sa njima u sobi ( bazenčići, ljevak, razne grabilice i sl.)</w:t>
      </w:r>
    </w:p>
    <w:p w14:paraId="397F203E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Voditelji aktivnosti odgojitelji i djeca.</w:t>
      </w:r>
    </w:p>
    <w:p w14:paraId="5D04B779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 xml:space="preserve">Ožujak: Izrada fašničkih maski i ostalih rekvizita potrebnih za maskiranje. Kupovina svih potrebnih materijala za izradu maski (trakice, kartoni, šljokice, svjetleći ukrasi, ….)  Organizirana Fašnička povorka  kroz mjesto , sudionici su svi zaposleni djelatnici vrtića i djeca svih programa. Zajedničko druženje u dvorištu uz pjesmu, ples i krafne. </w:t>
      </w:r>
    </w:p>
    <w:p w14:paraId="18FF8BB4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Obilježen Svjetski Dan voda 22.03. uz prigodne radionice, izrada vodenica – pomoć zainteresiranih roditelja.</w:t>
      </w:r>
    </w:p>
    <w:p w14:paraId="1E9F3DB4" w14:textId="77777777" w:rsidR="002074B9" w:rsidRPr="002074B9" w:rsidRDefault="002074B9" w:rsidP="002074B9">
      <w:pPr>
        <w:rPr>
          <w:rFonts w:ascii="Arial" w:hAnsi="Arial" w:cs="Arial"/>
          <w:bCs/>
        </w:rPr>
      </w:pPr>
      <w:r w:rsidRPr="002074B9">
        <w:rPr>
          <w:rFonts w:ascii="Arial" w:hAnsi="Arial" w:cs="Arial"/>
          <w:bCs/>
        </w:rPr>
        <w:t>Voditelji programa svi zaposlenici DV Iskrica , djeca i roditelji.</w:t>
      </w:r>
    </w:p>
    <w:p w14:paraId="19546ABA" w14:textId="77777777" w:rsidR="00457B62" w:rsidRPr="00457B62" w:rsidRDefault="00457B62" w:rsidP="00457B62">
      <w:pPr>
        <w:rPr>
          <w:rFonts w:ascii="Arial" w:hAnsi="Arial" w:cs="Arial"/>
          <w:bCs/>
        </w:rPr>
      </w:pPr>
    </w:p>
    <w:p w14:paraId="568F33B1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Travanj: Održane uskrsne radionice, ukrašavanje jaja i izrada prigodnih uskrsnih ukrasa.</w:t>
      </w:r>
    </w:p>
    <w:p w14:paraId="4EBEEA23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U suradnji sa Narodnom knjižnicom 23.04.djeca skupine Kockice, povodom manifestacije „Noć knjige“, sudjelovale su u zabavnoj pričaonici o ulogama životinja u slikovnicama i o važnosti čitanja knjiga. Nakon priče djeca su likovno pokazala „ da mogu biti neka životinja bio bih…“</w:t>
      </w:r>
    </w:p>
    <w:p w14:paraId="0D291C95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Uređen okoliš vrtića, posađeno cvijeće i grmovi u dvorištu vrtića. (22.04. Dan planete Zemlja).</w:t>
      </w:r>
    </w:p>
    <w:p w14:paraId="7D3A27C3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28.travnja djeca su bila sudionici kreativnih  radionica koje su pripremile učiteljice u Osnovnoj školi Josipa Kozarca.</w:t>
      </w:r>
    </w:p>
    <w:p w14:paraId="3B14676A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30.travnja organiziran je izlet u Petrinju u izletište „Vrata Zrinske gore“. Na izlet su išla sva djeca sa navršenih 5 godina i svi zaposlenici vrtića.</w:t>
      </w:r>
    </w:p>
    <w:p w14:paraId="18D025DA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Voditelji aktivnosti   su djeca, roditelji, učitelji OŠ, svi zaposlenici vrtića</w:t>
      </w:r>
    </w:p>
    <w:p w14:paraId="0448D598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Svibanj: Organiziran je posjet stomatološkoj ordinaciji u sklopu aktivnosti usmjerenih na očuvanju zdravlja i higijene zuba.</w:t>
      </w:r>
    </w:p>
    <w:p w14:paraId="7936E0F0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 xml:space="preserve"> Na poziv mame  Lucije S. ,skupina Kockice odlazi u posjet bistrou Luma. Tamo su naučili kako se prave pizze- pripremali tijesto, birali sastojke za svoje pizze i na kraju ih pekli. </w:t>
      </w:r>
    </w:p>
    <w:p w14:paraId="49604448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lastRenderedPageBreak/>
        <w:t>U sklopu dana otvorenih vrata DVD Lipovljani djeca svih skupina sudjelovala su u poligonima koja su postavili djelatnici DVD Lipovljani. Uz zabavu i igru djeca su naučila kako  ugasiti vatru, kako pomoći  i izvući utopljenika, kako dati umjetno disanje , kako izgleda vozilo vatrogasnih postrojbi.</w:t>
      </w:r>
    </w:p>
    <w:p w14:paraId="0D2869FB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Djeca skupina Pčelice i Kockice posjetila su  i novo izgrađeno fitness igralište . Probali su kako vježbati na svakoj pojedinoj spravi.</w:t>
      </w:r>
    </w:p>
    <w:p w14:paraId="62768445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Ove godine djeca su bila na Dječjoj olimpijadi koja se ove godine održala u Sisku. Natjecali su se u disciplinama trčanje na 50m, bacanje loptice, skok u dalj, štafeta 4x25 m, nogomet. Sudjelovalo je 40 djece (20 dječaka i 20 djevojčica)</w:t>
      </w:r>
    </w:p>
    <w:p w14:paraId="77BD2CD8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Voditelji aktivnosti : djeca, odgajateljice, djelatnici DVD Lipovljani, animatori na izletu u Petrinji, zaposlenici stomatološke ordinacije.</w:t>
      </w:r>
    </w:p>
    <w:p w14:paraId="2F6E5C3F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Lipanj: Naši predškolci posjetili su Osnovnu školu Josipa Kozarca u Lipovljanima. Domaćini su im bili učenici četvrtog razreda i učiteljica Ksenija D. Učenici su im pokazali kao izgledaju učionice, dvorana i okoliš škole.</w:t>
      </w:r>
    </w:p>
    <w:p w14:paraId="37D5A771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05.06. organizirano je druženje roditelja i djece skupine Kockice uz prigodan program na kojemu su ispraćena djeca koja odlaze u školu.</w:t>
      </w:r>
    </w:p>
    <w:p w14:paraId="1A8569A1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 xml:space="preserve">06.06. proslavili smo rođendan vrtića uz napuhanac, vesele igre, kolače i sladoled. </w:t>
      </w:r>
    </w:p>
    <w:p w14:paraId="0B31F539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Vodene igre, vodeni baloni, prskalice bazeni , rekviziti su to za vruće lipanjske dane i svakodnevne aktivnosti.</w:t>
      </w:r>
    </w:p>
    <w:p w14:paraId="169933DF" w14:textId="77777777" w:rsidR="00457B62" w:rsidRPr="00457B62" w:rsidRDefault="00457B62" w:rsidP="00457B62">
      <w:pPr>
        <w:rPr>
          <w:rFonts w:ascii="Arial" w:hAnsi="Arial" w:cs="Arial"/>
          <w:bCs/>
        </w:rPr>
      </w:pPr>
      <w:r w:rsidRPr="00457B62">
        <w:rPr>
          <w:rFonts w:ascii="Arial" w:hAnsi="Arial" w:cs="Arial"/>
          <w:bCs/>
        </w:rPr>
        <w:t>Voditelji aktivnosti: djeca , svi zaposlenici vrtića, učitelji OŠ, roditelji, zaposlenici općine.</w:t>
      </w:r>
    </w:p>
    <w:p w14:paraId="2C779D10" w14:textId="791695BE" w:rsidR="00C4622E" w:rsidRPr="00C4622E" w:rsidRDefault="00C4622E" w:rsidP="00C4622E">
      <w:pPr>
        <w:pStyle w:val="Odlomakpopisa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C4622E">
        <w:rPr>
          <w:rFonts w:ascii="Arial" w:hAnsi="Arial" w:cs="Arial"/>
        </w:rPr>
        <w:t>Dječji vrtić Iskrica Lipovljani nema primljenih i danih zajmova niti potencijalnih obveza  u 202</w:t>
      </w:r>
      <w:r w:rsidR="00BB3346">
        <w:rPr>
          <w:rFonts w:ascii="Arial" w:hAnsi="Arial" w:cs="Arial"/>
        </w:rPr>
        <w:t>5</w:t>
      </w:r>
      <w:r w:rsidRPr="00C4622E">
        <w:rPr>
          <w:rFonts w:ascii="Arial" w:hAnsi="Arial" w:cs="Arial"/>
        </w:rPr>
        <w:t xml:space="preserve">.g. </w:t>
      </w:r>
    </w:p>
    <w:p w14:paraId="0021C517" w14:textId="77777777" w:rsidR="008D1D26" w:rsidRDefault="008D1D26" w:rsidP="00644C13">
      <w:pPr>
        <w:rPr>
          <w:rFonts w:ascii="Arial" w:hAnsi="Arial" w:cs="Arial"/>
        </w:rPr>
      </w:pPr>
    </w:p>
    <w:p w14:paraId="3F3927C4" w14:textId="33FAC65D" w:rsidR="00873ADB" w:rsidRPr="00B370A0" w:rsidRDefault="00873ADB" w:rsidP="00644C13">
      <w:pPr>
        <w:rPr>
          <w:rFonts w:ascii="Arial" w:hAnsi="Arial" w:cs="Arial"/>
        </w:rPr>
      </w:pPr>
      <w:r w:rsidRPr="00B370A0">
        <w:rPr>
          <w:rFonts w:ascii="Arial" w:hAnsi="Arial" w:cs="Arial"/>
        </w:rPr>
        <w:t xml:space="preserve">U Lipovljanima, </w:t>
      </w:r>
      <w:r w:rsidR="00D04EC9">
        <w:rPr>
          <w:rFonts w:ascii="Arial" w:hAnsi="Arial" w:cs="Arial"/>
        </w:rPr>
        <w:t>7</w:t>
      </w:r>
      <w:r w:rsidR="002253D5">
        <w:rPr>
          <w:rFonts w:ascii="Arial" w:hAnsi="Arial" w:cs="Arial"/>
        </w:rPr>
        <w:t>.</w:t>
      </w:r>
      <w:r w:rsidR="00D04EC9">
        <w:rPr>
          <w:rFonts w:ascii="Arial" w:hAnsi="Arial" w:cs="Arial"/>
        </w:rPr>
        <w:t>srpnja</w:t>
      </w:r>
      <w:r w:rsidR="00BB3346">
        <w:rPr>
          <w:rFonts w:ascii="Arial" w:hAnsi="Arial" w:cs="Arial"/>
        </w:rPr>
        <w:t xml:space="preserve"> </w:t>
      </w:r>
      <w:r w:rsidR="0044066B">
        <w:rPr>
          <w:rFonts w:ascii="Arial" w:hAnsi="Arial" w:cs="Arial"/>
        </w:rPr>
        <w:t xml:space="preserve"> </w:t>
      </w:r>
      <w:r w:rsidRPr="00B370A0">
        <w:rPr>
          <w:rFonts w:ascii="Arial" w:hAnsi="Arial" w:cs="Arial"/>
        </w:rPr>
        <w:t>202</w:t>
      </w:r>
      <w:r w:rsidR="00BB3346">
        <w:rPr>
          <w:rFonts w:ascii="Arial" w:hAnsi="Arial" w:cs="Arial"/>
        </w:rPr>
        <w:t>5</w:t>
      </w:r>
      <w:r w:rsidRPr="00B370A0">
        <w:rPr>
          <w:rFonts w:ascii="Arial" w:hAnsi="Arial" w:cs="Arial"/>
        </w:rPr>
        <w:t>.g.</w:t>
      </w:r>
    </w:p>
    <w:p w14:paraId="014DC02D" w14:textId="77777777" w:rsidR="008D1D26" w:rsidRDefault="0093784B" w:rsidP="0093784B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Ravnateljica ;</w:t>
      </w:r>
    </w:p>
    <w:p w14:paraId="160DFFD8" w14:textId="1ED22D54" w:rsidR="00644C13" w:rsidRPr="0093784B" w:rsidRDefault="00644C13" w:rsidP="0093784B">
      <w:pPr>
        <w:ind w:left="5760"/>
        <w:rPr>
          <w:rFonts w:ascii="Arial" w:hAnsi="Arial" w:cs="Arial"/>
        </w:rPr>
      </w:pPr>
      <w:r w:rsidRPr="00B370A0">
        <w:rPr>
          <w:rFonts w:ascii="Arial" w:hAnsi="Arial" w:cs="Arial"/>
        </w:rPr>
        <w:t>Marija Duda</w:t>
      </w:r>
    </w:p>
    <w:sectPr w:rsidR="00644C13" w:rsidRPr="0093784B">
      <w:headerReference w:type="default" r:id="rId8"/>
      <w:footerReference w:type="default" r:id="rId9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53EF" w14:textId="77777777" w:rsidR="00F84B3F" w:rsidRDefault="00F84B3F">
      <w:pPr>
        <w:spacing w:after="0" w:line="240" w:lineRule="auto"/>
      </w:pPr>
      <w:r>
        <w:separator/>
      </w:r>
    </w:p>
  </w:endnote>
  <w:endnote w:type="continuationSeparator" w:id="0">
    <w:p w14:paraId="3300AEAD" w14:textId="77777777" w:rsidR="00F84B3F" w:rsidRDefault="00F8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7313" w14:textId="77777777" w:rsidR="007311CB" w:rsidRDefault="007311CB">
    <w:pPr>
      <w:pStyle w:val="Podnoje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7F4181">
      <w:rPr>
        <w:noProof/>
      </w:rPr>
      <w:t>5</w:t>
    </w:r>
    <w:r>
      <w:rPr>
        <w:noProof/>
      </w:rPr>
      <w:fldChar w:fldCharType="end"/>
    </w:r>
    <w:r>
      <w:t xml:space="preserve"> </w:t>
    </w:r>
    <w:r>
      <w:rPr>
        <w:noProof/>
      </w:rPr>
      <mc:AlternateContent>
        <mc:Choice Requires="wps">
          <w:drawing>
            <wp:inline distT="0" distB="0" distL="0" distR="0" wp14:anchorId="45332380" wp14:editId="55E5AEC7">
              <wp:extent cx="91440" cy="91440"/>
              <wp:effectExtent l="19050" t="19050" r="22860" b="22860"/>
              <wp:docPr id="72" name="Ovaln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29A0FA0" id="Ovalno 72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i1JAMAAJgGAAAOAAAAZHJzL2Uyb0RvYy54bWysVVFv0zAQfkfiP1h+z5K0adNGy1CXNoA0&#10;2KSBeHYTp7Fw7GC7Swfiv3O222wdLwitD5HvfD7f9/m76+W7Q8fRA1WaSZHj+CLCiIpK1kzscvz1&#10;SxksMNKGiJpwKWiOH6nG767evrkc+oxOZCt5TRWCJEJnQ5/j1pg+C0NdtbQj+kL2VMBmI1VHDJhq&#10;F9aKDJC94+EkiubhIFXdK1lRrcG79pv4yuVvGlqZ26bR1CCeY6jNuK9y3639hleXJNsp0resOpZB&#10;/qOKjjABl46p1sQQtFfsr1Qdq5TUsjEXlexC2TSsog4DoImjF2juW9JThwXI0f1Ik369tNXnhzuF&#10;WJ3jdIKRIB280e0D4UIicAA7Q68zCLrv75TFp/sbWX3XSMiiJWJHV0rJoaWkhppiGx+eHbCGhqNo&#10;O3ySNeQmeyMdUYdGdajhrP9gD9rUQAY6uJd5HF+GHgyqwLmMkwSer4Idv7Q3kcwmsUd7pc17Kjtk&#10;FzmmHPJqyxzJyMONNj76FGXdQpaMc/CTjAs05Hi6iCN7Q9cDF/WWu8NaclbbQBvnNEkLrhDwA0iq&#10;igrjS+f7DuB5P6SBnxcW+EF+3u9cUPOYxiE4u0HJvahdTZbRzXFtCON+Dae5sKVQp2wPDKyDgaXz&#10;A11Odb+W0XKz2CySIJnMN0ESrdfBqiySYF7G6Ww9XRfFOv5tMcZJ1rK6psLCPHVAnPybwo696LU7&#10;9sAZJq1225GzskzXk7mTCRDxRG54XoZjBlCdQ1qVsyhNposgTWfTIJluouB6URbBqojn83RzXVxv&#10;XkDaOJr066AaObdVyb2h6r6tB1Qzq7hkli5jDAaMluk0XcyWc4wI38FMrIzCSEnzjZnWNbQVt81x&#10;xkxcTspp6RXL+5Z4zcxOUrK68UQ6bsbrPVMnNVhrfM8j+CcuIcdJKa5JbV/6/t7K+hF6FIp07Qfj&#10;HBatVD8xGmA05lj/2BNFMeIfBfT5sRmNMwD5BPpGPd/ZPt8hooJUOTZAiFsWxs/ffa/YroWbfA8J&#10;uYLZ0DDXrHZu+KqgfmvA+HNIjqPaztfntot6+kO5+gMAAP//AwBQSwMEFAAGAAgAAAAhANx0XajY&#10;AAAAAwEAAA8AAABkcnMvZG93bnJldi54bWxMj09Lw0AQxe+C32EZwZvdVIpKzKYUod5CNY3gcZKd&#10;/KHZ2bC7beO3d6sHvcxjeMN7v8nWsxnFiZwfLCtYLhIQxI3VA3cKqv327gmED8gaR8uk4Is8rPPr&#10;qwxTbc/8TqcydCKGsE9RQR/ClErpm54M+oWdiKPXWmcwxNV1Ujs8x3AzyvskeZAGB44NPU700lNz&#10;KI9GQf1Z7Krt266cD/Vr9YGPhWvbQqnbm3nzDCLQHP6O4YIf0SGPTLU9svZiVBAfCT/z4q1WIOpf&#10;lXkm/7Pn3wAAAP//AwBQSwECLQAUAAYACAAAACEAtoM4kv4AAADhAQAAEwAAAAAAAAAAAAAAAAAA&#10;AAAAW0NvbnRlbnRfVHlwZXNdLnhtbFBLAQItABQABgAIAAAAIQA4/SH/1gAAAJQBAAALAAAAAAAA&#10;AAAAAAAAAC8BAABfcmVscy8ucmVsc1BLAQItABQABgAIAAAAIQCNy8i1JAMAAJgGAAAOAAAAAAAA&#10;AAAAAAAAAC4CAABkcnMvZTJvRG9jLnhtbFBLAQItABQABgAIAAAAIQDcdF2o2AAAAAMBAAAPAAAA&#10;AAAAAAAAAAAAAH4FAABkcnMvZG93bnJldi54bWxQSwUGAAAAAAQABADzAAAAgwYAAAAA&#10;" filled="f" fillcolor="#ff7d26" strokecolor="#fe8637 [3204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BAC7" w14:textId="77777777" w:rsidR="00F84B3F" w:rsidRDefault="00F84B3F">
      <w:pPr>
        <w:spacing w:after="0" w:line="240" w:lineRule="auto"/>
      </w:pPr>
      <w:r>
        <w:separator/>
      </w:r>
    </w:p>
  </w:footnote>
  <w:footnote w:type="continuationSeparator" w:id="0">
    <w:p w14:paraId="4F580251" w14:textId="77777777" w:rsidR="00F84B3F" w:rsidRDefault="00F8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728"/>
      <w:gridCol w:w="6912"/>
    </w:tblGrid>
    <w:sdt>
      <w:sdtPr>
        <w:id w:val="945654878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7311CB" w14:paraId="30291F58" w14:textId="77777777">
          <w:trPr>
            <w:trHeight w:val="1080"/>
          </w:trPr>
          <w:tc>
            <w:tcPr>
              <w:tcW w:w="1000" w:type="pct"/>
              <w:tcBorders>
                <w:right w:val="triple" w:sz="4" w:space="0" w:color="FE8637" w:themeColor="accent1"/>
              </w:tcBorders>
              <w:vAlign w:val="bottom"/>
            </w:tcPr>
            <w:p w14:paraId="7F69EA43" w14:textId="77777777" w:rsidR="007311CB" w:rsidRDefault="007311CB">
              <w:pPr>
                <w:pStyle w:val="Bezproreda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7F4181">
                <w:rPr>
                  <w:noProof/>
                </w:rPr>
                <w:t>5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FE8637" w:themeColor="accent1"/>
              </w:tcBorders>
              <w:vAlign w:val="bottom"/>
            </w:tcPr>
            <w:p w14:paraId="1D4D0E45" w14:textId="77777777" w:rsidR="007311CB" w:rsidRDefault="007311CB">
              <w:pPr>
                <w:pStyle w:val="Bezprored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34A4483D" w14:textId="77777777" w:rsidR="007311CB" w:rsidRDefault="007311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ED"/>
    <w:multiLevelType w:val="multilevel"/>
    <w:tmpl w:val="CD40BF9A"/>
    <w:styleLink w:val="Popissgrafikimoznakama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0D7B6A2B"/>
    <w:multiLevelType w:val="hybridMultilevel"/>
    <w:tmpl w:val="2ADCC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2C7"/>
    <w:multiLevelType w:val="hybridMultilevel"/>
    <w:tmpl w:val="50649D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E3499"/>
    <w:multiLevelType w:val="multilevel"/>
    <w:tmpl w:val="85C08436"/>
    <w:styleLink w:val="Numeriranipopis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4" w15:restartNumberingAfterBreak="0">
    <w:nsid w:val="1A8E70E0"/>
    <w:multiLevelType w:val="multilevel"/>
    <w:tmpl w:val="3404F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1D4EFF"/>
    <w:multiLevelType w:val="hybridMultilevel"/>
    <w:tmpl w:val="737A7AF0"/>
    <w:lvl w:ilvl="0" w:tplc="8C96EEA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62A92"/>
    <w:multiLevelType w:val="hybridMultilevel"/>
    <w:tmpl w:val="00840002"/>
    <w:lvl w:ilvl="0" w:tplc="C3681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6C24"/>
    <w:multiLevelType w:val="hybridMultilevel"/>
    <w:tmpl w:val="2BA26FD8"/>
    <w:lvl w:ilvl="0" w:tplc="C4CAFEF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653A5"/>
    <w:multiLevelType w:val="hybridMultilevel"/>
    <w:tmpl w:val="AA6C65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93C82"/>
    <w:multiLevelType w:val="hybridMultilevel"/>
    <w:tmpl w:val="06100E00"/>
    <w:lvl w:ilvl="0" w:tplc="C9F4242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8732">
    <w:abstractNumId w:val="0"/>
  </w:num>
  <w:num w:numId="2" w16cid:durableId="1120808062">
    <w:abstractNumId w:val="3"/>
  </w:num>
  <w:num w:numId="3" w16cid:durableId="2060550142">
    <w:abstractNumId w:val="0"/>
  </w:num>
  <w:num w:numId="4" w16cid:durableId="356546272">
    <w:abstractNumId w:val="3"/>
  </w:num>
  <w:num w:numId="5" w16cid:durableId="1441686334">
    <w:abstractNumId w:val="0"/>
  </w:num>
  <w:num w:numId="6" w16cid:durableId="153495398">
    <w:abstractNumId w:val="3"/>
  </w:num>
  <w:num w:numId="7" w16cid:durableId="467673609">
    <w:abstractNumId w:val="9"/>
  </w:num>
  <w:num w:numId="8" w16cid:durableId="929389347">
    <w:abstractNumId w:val="5"/>
  </w:num>
  <w:num w:numId="9" w16cid:durableId="1318416600">
    <w:abstractNumId w:val="8"/>
  </w:num>
  <w:num w:numId="10" w16cid:durableId="1336302781">
    <w:abstractNumId w:val="1"/>
  </w:num>
  <w:num w:numId="11" w16cid:durableId="1067151300">
    <w:abstractNumId w:val="4"/>
  </w:num>
  <w:num w:numId="12" w16cid:durableId="1342849882">
    <w:abstractNumId w:val="7"/>
  </w:num>
  <w:num w:numId="13" w16cid:durableId="658000603">
    <w:abstractNumId w:val="2"/>
  </w:num>
  <w:num w:numId="14" w16cid:durableId="942687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34"/>
    <w:rsid w:val="000067FC"/>
    <w:rsid w:val="0001028F"/>
    <w:rsid w:val="00010B7D"/>
    <w:rsid w:val="00012C8E"/>
    <w:rsid w:val="00017F79"/>
    <w:rsid w:val="000211B0"/>
    <w:rsid w:val="0002530C"/>
    <w:rsid w:val="00033E2E"/>
    <w:rsid w:val="00042897"/>
    <w:rsid w:val="0004561C"/>
    <w:rsid w:val="000458FB"/>
    <w:rsid w:val="00055ACB"/>
    <w:rsid w:val="0006145D"/>
    <w:rsid w:val="00064323"/>
    <w:rsid w:val="00093B66"/>
    <w:rsid w:val="000943ED"/>
    <w:rsid w:val="000A11E7"/>
    <w:rsid w:val="000A12B8"/>
    <w:rsid w:val="000A4EEE"/>
    <w:rsid w:val="000B2CAE"/>
    <w:rsid w:val="000B408E"/>
    <w:rsid w:val="000C177A"/>
    <w:rsid w:val="000D0445"/>
    <w:rsid w:val="000D4DEA"/>
    <w:rsid w:val="000D6848"/>
    <w:rsid w:val="000F026D"/>
    <w:rsid w:val="000F48B2"/>
    <w:rsid w:val="00103189"/>
    <w:rsid w:val="0010657C"/>
    <w:rsid w:val="00111C6D"/>
    <w:rsid w:val="00111D0C"/>
    <w:rsid w:val="0011365B"/>
    <w:rsid w:val="00121C2F"/>
    <w:rsid w:val="00125A77"/>
    <w:rsid w:val="00130662"/>
    <w:rsid w:val="001621B3"/>
    <w:rsid w:val="00163BA2"/>
    <w:rsid w:val="0017160A"/>
    <w:rsid w:val="0017334A"/>
    <w:rsid w:val="001832A6"/>
    <w:rsid w:val="00190021"/>
    <w:rsid w:val="00195BB7"/>
    <w:rsid w:val="001A3309"/>
    <w:rsid w:val="001A43DB"/>
    <w:rsid w:val="001A490C"/>
    <w:rsid w:val="001B4A0A"/>
    <w:rsid w:val="001C4659"/>
    <w:rsid w:val="001C67C9"/>
    <w:rsid w:val="001D1933"/>
    <w:rsid w:val="001E5113"/>
    <w:rsid w:val="001F42DC"/>
    <w:rsid w:val="002074B9"/>
    <w:rsid w:val="002253D5"/>
    <w:rsid w:val="00230B39"/>
    <w:rsid w:val="002457F1"/>
    <w:rsid w:val="00256FE8"/>
    <w:rsid w:val="0025755A"/>
    <w:rsid w:val="00264606"/>
    <w:rsid w:val="00265CA9"/>
    <w:rsid w:val="00267787"/>
    <w:rsid w:val="0027078C"/>
    <w:rsid w:val="0027373E"/>
    <w:rsid w:val="00284260"/>
    <w:rsid w:val="002B42CC"/>
    <w:rsid w:val="002C2BE1"/>
    <w:rsid w:val="002C4F55"/>
    <w:rsid w:val="002E14BF"/>
    <w:rsid w:val="002E46E8"/>
    <w:rsid w:val="002E49DE"/>
    <w:rsid w:val="002E6344"/>
    <w:rsid w:val="002F40D9"/>
    <w:rsid w:val="00325324"/>
    <w:rsid w:val="0033599E"/>
    <w:rsid w:val="003372C7"/>
    <w:rsid w:val="003454E4"/>
    <w:rsid w:val="00350D36"/>
    <w:rsid w:val="003724E1"/>
    <w:rsid w:val="00376BAC"/>
    <w:rsid w:val="00376F70"/>
    <w:rsid w:val="00387EBC"/>
    <w:rsid w:val="00393A42"/>
    <w:rsid w:val="003A09AE"/>
    <w:rsid w:val="003A49A0"/>
    <w:rsid w:val="003D2074"/>
    <w:rsid w:val="003D6DD6"/>
    <w:rsid w:val="003E0A4E"/>
    <w:rsid w:val="003E4A80"/>
    <w:rsid w:val="00425982"/>
    <w:rsid w:val="00427499"/>
    <w:rsid w:val="004301AF"/>
    <w:rsid w:val="0044066B"/>
    <w:rsid w:val="00442E2E"/>
    <w:rsid w:val="0044445F"/>
    <w:rsid w:val="004505F4"/>
    <w:rsid w:val="00454BAA"/>
    <w:rsid w:val="00457B62"/>
    <w:rsid w:val="00457EEA"/>
    <w:rsid w:val="00467DD6"/>
    <w:rsid w:val="004763B7"/>
    <w:rsid w:val="00480C87"/>
    <w:rsid w:val="00492320"/>
    <w:rsid w:val="004A4E3C"/>
    <w:rsid w:val="004A719B"/>
    <w:rsid w:val="004B5325"/>
    <w:rsid w:val="004C052F"/>
    <w:rsid w:val="004C083E"/>
    <w:rsid w:val="004D11FC"/>
    <w:rsid w:val="004D6283"/>
    <w:rsid w:val="004F10BE"/>
    <w:rsid w:val="004F221B"/>
    <w:rsid w:val="0050552E"/>
    <w:rsid w:val="00505FCC"/>
    <w:rsid w:val="005115A8"/>
    <w:rsid w:val="0052040D"/>
    <w:rsid w:val="005216BF"/>
    <w:rsid w:val="005240F9"/>
    <w:rsid w:val="00532AD0"/>
    <w:rsid w:val="00536A37"/>
    <w:rsid w:val="00542269"/>
    <w:rsid w:val="00546224"/>
    <w:rsid w:val="0056080D"/>
    <w:rsid w:val="005631BF"/>
    <w:rsid w:val="0057596D"/>
    <w:rsid w:val="00575B69"/>
    <w:rsid w:val="00591A4D"/>
    <w:rsid w:val="0059733B"/>
    <w:rsid w:val="005C069E"/>
    <w:rsid w:val="005C4DE7"/>
    <w:rsid w:val="005D04C5"/>
    <w:rsid w:val="005D2916"/>
    <w:rsid w:val="005D293F"/>
    <w:rsid w:val="005D4E41"/>
    <w:rsid w:val="005F310D"/>
    <w:rsid w:val="005F363A"/>
    <w:rsid w:val="005F44B9"/>
    <w:rsid w:val="005F769A"/>
    <w:rsid w:val="006078C6"/>
    <w:rsid w:val="00617681"/>
    <w:rsid w:val="0063145D"/>
    <w:rsid w:val="0063490C"/>
    <w:rsid w:val="00644C13"/>
    <w:rsid w:val="006470F0"/>
    <w:rsid w:val="006471D0"/>
    <w:rsid w:val="00662D27"/>
    <w:rsid w:val="006758C0"/>
    <w:rsid w:val="006950A0"/>
    <w:rsid w:val="00695130"/>
    <w:rsid w:val="006956A4"/>
    <w:rsid w:val="006A250C"/>
    <w:rsid w:val="006A601B"/>
    <w:rsid w:val="006B281F"/>
    <w:rsid w:val="006B5E3B"/>
    <w:rsid w:val="006C74A5"/>
    <w:rsid w:val="006D0AA3"/>
    <w:rsid w:val="006D2A06"/>
    <w:rsid w:val="006F2EE6"/>
    <w:rsid w:val="00702971"/>
    <w:rsid w:val="00715134"/>
    <w:rsid w:val="00727EF8"/>
    <w:rsid w:val="007301A4"/>
    <w:rsid w:val="007311CB"/>
    <w:rsid w:val="007324A6"/>
    <w:rsid w:val="007376BD"/>
    <w:rsid w:val="0074326D"/>
    <w:rsid w:val="007465E0"/>
    <w:rsid w:val="00747A08"/>
    <w:rsid w:val="00747FD9"/>
    <w:rsid w:val="00757D18"/>
    <w:rsid w:val="0076711E"/>
    <w:rsid w:val="00786059"/>
    <w:rsid w:val="0078736A"/>
    <w:rsid w:val="007A3E64"/>
    <w:rsid w:val="007B27AD"/>
    <w:rsid w:val="007B63D7"/>
    <w:rsid w:val="007B75CE"/>
    <w:rsid w:val="007C3888"/>
    <w:rsid w:val="007D1409"/>
    <w:rsid w:val="007D6957"/>
    <w:rsid w:val="007E50CF"/>
    <w:rsid w:val="007F051D"/>
    <w:rsid w:val="007F215D"/>
    <w:rsid w:val="007F4181"/>
    <w:rsid w:val="007F7373"/>
    <w:rsid w:val="008018C7"/>
    <w:rsid w:val="00804273"/>
    <w:rsid w:val="0081155D"/>
    <w:rsid w:val="00813422"/>
    <w:rsid w:val="008159C3"/>
    <w:rsid w:val="00816D31"/>
    <w:rsid w:val="008212BF"/>
    <w:rsid w:val="0084188B"/>
    <w:rsid w:val="008711E4"/>
    <w:rsid w:val="0087213A"/>
    <w:rsid w:val="00873ADB"/>
    <w:rsid w:val="00877647"/>
    <w:rsid w:val="0088007A"/>
    <w:rsid w:val="00884859"/>
    <w:rsid w:val="008861AB"/>
    <w:rsid w:val="008862B7"/>
    <w:rsid w:val="008915C1"/>
    <w:rsid w:val="00894735"/>
    <w:rsid w:val="0089674B"/>
    <w:rsid w:val="008B1650"/>
    <w:rsid w:val="008B310C"/>
    <w:rsid w:val="008C4326"/>
    <w:rsid w:val="008C5F13"/>
    <w:rsid w:val="008C7992"/>
    <w:rsid w:val="008D1D26"/>
    <w:rsid w:val="008D350C"/>
    <w:rsid w:val="008D5E61"/>
    <w:rsid w:val="008D72AF"/>
    <w:rsid w:val="008E3307"/>
    <w:rsid w:val="008F622C"/>
    <w:rsid w:val="009019DE"/>
    <w:rsid w:val="00907665"/>
    <w:rsid w:val="0091082A"/>
    <w:rsid w:val="009116F2"/>
    <w:rsid w:val="00912450"/>
    <w:rsid w:val="00925672"/>
    <w:rsid w:val="0093784B"/>
    <w:rsid w:val="00953488"/>
    <w:rsid w:val="00977003"/>
    <w:rsid w:val="00985814"/>
    <w:rsid w:val="009A4C0E"/>
    <w:rsid w:val="009B1199"/>
    <w:rsid w:val="009C0DD3"/>
    <w:rsid w:val="009C5368"/>
    <w:rsid w:val="009C61D1"/>
    <w:rsid w:val="009D62EF"/>
    <w:rsid w:val="009E03C6"/>
    <w:rsid w:val="009F2CC4"/>
    <w:rsid w:val="009F711C"/>
    <w:rsid w:val="009F768C"/>
    <w:rsid w:val="00A05DE5"/>
    <w:rsid w:val="00A06746"/>
    <w:rsid w:val="00A10441"/>
    <w:rsid w:val="00A177DE"/>
    <w:rsid w:val="00A2179B"/>
    <w:rsid w:val="00A2321A"/>
    <w:rsid w:val="00A3748C"/>
    <w:rsid w:val="00A40599"/>
    <w:rsid w:val="00A47D90"/>
    <w:rsid w:val="00A65509"/>
    <w:rsid w:val="00A75A4C"/>
    <w:rsid w:val="00A77302"/>
    <w:rsid w:val="00A96CBC"/>
    <w:rsid w:val="00AA5546"/>
    <w:rsid w:val="00AC46C8"/>
    <w:rsid w:val="00AE1A49"/>
    <w:rsid w:val="00AF0415"/>
    <w:rsid w:val="00AF7605"/>
    <w:rsid w:val="00B06E0A"/>
    <w:rsid w:val="00B104A5"/>
    <w:rsid w:val="00B1272B"/>
    <w:rsid w:val="00B13CD3"/>
    <w:rsid w:val="00B148C7"/>
    <w:rsid w:val="00B241EE"/>
    <w:rsid w:val="00B35C9E"/>
    <w:rsid w:val="00B365E0"/>
    <w:rsid w:val="00B370A0"/>
    <w:rsid w:val="00B413EC"/>
    <w:rsid w:val="00B43AFC"/>
    <w:rsid w:val="00B52695"/>
    <w:rsid w:val="00B65B01"/>
    <w:rsid w:val="00B72554"/>
    <w:rsid w:val="00B7607D"/>
    <w:rsid w:val="00B768AA"/>
    <w:rsid w:val="00B80E12"/>
    <w:rsid w:val="00BA3588"/>
    <w:rsid w:val="00BB0849"/>
    <w:rsid w:val="00BB3346"/>
    <w:rsid w:val="00BB38EA"/>
    <w:rsid w:val="00BB4822"/>
    <w:rsid w:val="00BB74B5"/>
    <w:rsid w:val="00BC0732"/>
    <w:rsid w:val="00BC1E97"/>
    <w:rsid w:val="00BD26E2"/>
    <w:rsid w:val="00BD4CA4"/>
    <w:rsid w:val="00BD6045"/>
    <w:rsid w:val="00BF2DDD"/>
    <w:rsid w:val="00BF73FE"/>
    <w:rsid w:val="00C13829"/>
    <w:rsid w:val="00C20F8D"/>
    <w:rsid w:val="00C35BE9"/>
    <w:rsid w:val="00C36FD7"/>
    <w:rsid w:val="00C430E0"/>
    <w:rsid w:val="00C4622E"/>
    <w:rsid w:val="00C61DCA"/>
    <w:rsid w:val="00C709FA"/>
    <w:rsid w:val="00C9746B"/>
    <w:rsid w:val="00C97EF3"/>
    <w:rsid w:val="00CA121F"/>
    <w:rsid w:val="00CA738C"/>
    <w:rsid w:val="00CD128E"/>
    <w:rsid w:val="00CD6CCB"/>
    <w:rsid w:val="00CE00FC"/>
    <w:rsid w:val="00CE34E1"/>
    <w:rsid w:val="00CF29DC"/>
    <w:rsid w:val="00D0056A"/>
    <w:rsid w:val="00D04EC9"/>
    <w:rsid w:val="00D2009A"/>
    <w:rsid w:val="00D20722"/>
    <w:rsid w:val="00D20809"/>
    <w:rsid w:val="00D4561B"/>
    <w:rsid w:val="00D47C0D"/>
    <w:rsid w:val="00D5566A"/>
    <w:rsid w:val="00D56907"/>
    <w:rsid w:val="00D57258"/>
    <w:rsid w:val="00D6234C"/>
    <w:rsid w:val="00D65382"/>
    <w:rsid w:val="00D71DCA"/>
    <w:rsid w:val="00D72CE3"/>
    <w:rsid w:val="00D9275A"/>
    <w:rsid w:val="00D96891"/>
    <w:rsid w:val="00DA1C81"/>
    <w:rsid w:val="00DA7352"/>
    <w:rsid w:val="00DC7953"/>
    <w:rsid w:val="00DD1703"/>
    <w:rsid w:val="00DD46F4"/>
    <w:rsid w:val="00E242BD"/>
    <w:rsid w:val="00E25D0C"/>
    <w:rsid w:val="00E37D1A"/>
    <w:rsid w:val="00E456B6"/>
    <w:rsid w:val="00E55A50"/>
    <w:rsid w:val="00E6259F"/>
    <w:rsid w:val="00E62EB8"/>
    <w:rsid w:val="00E65E96"/>
    <w:rsid w:val="00E7565E"/>
    <w:rsid w:val="00EA44C1"/>
    <w:rsid w:val="00EA7ABF"/>
    <w:rsid w:val="00ED1FE9"/>
    <w:rsid w:val="00ED50C2"/>
    <w:rsid w:val="00ED7D6A"/>
    <w:rsid w:val="00EE2F9A"/>
    <w:rsid w:val="00EE3808"/>
    <w:rsid w:val="00EF072A"/>
    <w:rsid w:val="00F07348"/>
    <w:rsid w:val="00F12043"/>
    <w:rsid w:val="00F47B8C"/>
    <w:rsid w:val="00F70E70"/>
    <w:rsid w:val="00F710D9"/>
    <w:rsid w:val="00F74658"/>
    <w:rsid w:val="00F84B3F"/>
    <w:rsid w:val="00FA5F1E"/>
    <w:rsid w:val="00FB29A3"/>
    <w:rsid w:val="00FC448A"/>
    <w:rsid w:val="00FE46EF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4559"/>
  <w15:docId w15:val="{A20E19EF-3CD3-4EB9-8E67-875B8EB8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slov">
    <w:name w:val="Subtitle"/>
    <w:basedOn w:val="Normal"/>
    <w:link w:val="Podnaslov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aslovknjige">
    <w:name w:val="Book Title"/>
    <w:basedOn w:val="Zadanifontodlomka"/>
    <w:uiPriority w:val="33"/>
    <w:qFormat/>
    <w:rPr>
      <w:rFonts w:cs="Times New Roman"/>
      <w:smallCaps/>
      <w:color w:val="000000"/>
      <w:spacing w:val="10"/>
    </w:rPr>
  </w:style>
  <w:style w:type="numbering" w:customStyle="1" w:styleId="Popissgrafikimoznakama">
    <w:name w:val="Popis s grafičkim oznakama"/>
    <w:uiPriority w:val="99"/>
    <w:pPr>
      <w:numPr>
        <w:numId w:val="1"/>
      </w:numPr>
    </w:pPr>
  </w:style>
  <w:style w:type="paragraph" w:styleId="Opisslike">
    <w:name w:val="caption"/>
    <w:basedOn w:val="Normal"/>
    <w:next w:val="Normal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Istaknuto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cstheme="minorHAnsi"/>
      <w:color w:val="414751" w:themeColor="text2" w:themeShade="BF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Jakoisticanje">
    <w:name w:val="Intense Emphasis"/>
    <w:basedOn w:val="Zadanifontodlomka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">
    <w:name w:val="Quote"/>
    <w:basedOn w:val="Normal"/>
    <w:link w:val="CitatChar"/>
    <w:uiPriority w:val="29"/>
    <w:qFormat/>
    <w:rPr>
      <w:i/>
    </w:rPr>
  </w:style>
  <w:style w:type="character" w:customStyle="1" w:styleId="CitatChar">
    <w:name w:val="Citat Char"/>
    <w:basedOn w:val="Zadanifontodlomka"/>
    <w:link w:val="Cita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Naglaencitat">
    <w:name w:val="Intense Quote"/>
    <w:basedOn w:val="Citat"/>
    <w:link w:val="Naglaencita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Istaknutareferenca">
    <w:name w:val="Intense Reference"/>
    <w:basedOn w:val="Zadanifontodlomka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lomakpopisa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Obinouvueno">
    <w:name w:val="Normal Indent"/>
    <w:basedOn w:val="Normal"/>
    <w:uiPriority w:val="99"/>
    <w:unhideWhenUsed/>
    <w:pPr>
      <w:ind w:left="720"/>
      <w:contextualSpacing/>
    </w:pPr>
  </w:style>
  <w:style w:type="numbering" w:customStyle="1" w:styleId="Numeriranipopis">
    <w:name w:val="Numerirani popis"/>
    <w:uiPriority w:val="99"/>
    <w:pPr>
      <w:numPr>
        <w:numId w:val="2"/>
      </w:numPr>
    </w:pPr>
  </w:style>
  <w:style w:type="character" w:styleId="Tekstrezerviranogmjesta">
    <w:name w:val="Placeholder Text"/>
    <w:basedOn w:val="Zadanifontodlomka"/>
    <w:uiPriority w:val="99"/>
    <w:unhideWhenUsed/>
    <w:rPr>
      <w:color w:val="808080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oisticanje">
    <w:name w:val="Subtle Emphasis"/>
    <w:basedOn w:val="Zadanifontodlomka"/>
    <w:uiPriority w:val="19"/>
    <w:qFormat/>
    <w:rPr>
      <w:i/>
      <w:color w:val="E65B01" w:themeColor="accent1" w:themeShade="BF"/>
    </w:rPr>
  </w:style>
  <w:style w:type="character" w:styleId="Neupadljivareferenca">
    <w:name w:val="Subtle Reference"/>
    <w:basedOn w:val="Zadanifontodlomka"/>
    <w:uiPriority w:val="31"/>
    <w:qFormat/>
    <w:rPr>
      <w:rFonts w:cs="Times New Roman"/>
      <w:b/>
      <w:i/>
      <w:color w:val="3667C3" w:themeColor="accent2" w:themeShade="BF"/>
    </w:rPr>
  </w:style>
  <w:style w:type="table" w:styleId="Reetkatablice">
    <w:name w:val="Table Grid"/>
    <w:basedOn w:val="Obinatablic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link w:val="BezproredaChar"/>
    <w:uiPriority w:val="1"/>
    <w:qFormat/>
    <w:rsid w:val="007151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15134"/>
    <w:rPr>
      <w:rFonts w:ascii="Calibri" w:eastAsia="Calibri" w:hAnsi="Calibri" w:cs="Times New Roman"/>
      <w:lang w:eastAsia="en-US"/>
    </w:rPr>
  </w:style>
  <w:style w:type="paragraph" w:customStyle="1" w:styleId="t-9-8">
    <w:name w:val="t-9-8"/>
    <w:basedOn w:val="Normal"/>
    <w:rsid w:val="005D2916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Obinatablica5">
    <w:name w:val="Plain Table 5"/>
    <w:basedOn w:val="Obinatablica"/>
    <w:uiPriority w:val="45"/>
    <w:rsid w:val="008915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8915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6349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-isticanje1">
    <w:name w:val="Grid Table 1 Light Accent 1"/>
    <w:basedOn w:val="Obinatablica"/>
    <w:uiPriority w:val="46"/>
    <w:rsid w:val="00BF73FE"/>
    <w:pPr>
      <w:spacing w:after="0" w:line="240" w:lineRule="auto"/>
    </w:pPr>
    <w:tblPr>
      <w:tblStyleRowBandSize w:val="1"/>
      <w:tblStyleColBandSize w:val="1"/>
      <w:tblBorders>
        <w:top w:val="single" w:sz="4" w:space="0" w:color="FECEAE" w:themeColor="accent1" w:themeTint="66"/>
        <w:left w:val="single" w:sz="4" w:space="0" w:color="FECEAE" w:themeColor="accent1" w:themeTint="66"/>
        <w:bottom w:val="single" w:sz="4" w:space="0" w:color="FECEAE" w:themeColor="accent1" w:themeTint="66"/>
        <w:right w:val="single" w:sz="4" w:space="0" w:color="FECEAE" w:themeColor="accent1" w:themeTint="66"/>
        <w:insideH w:val="single" w:sz="4" w:space="0" w:color="FECEAE" w:themeColor="accent1" w:themeTint="66"/>
        <w:insideV w:val="single" w:sz="4" w:space="0" w:color="FECE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1B4A0A"/>
    <w:pPr>
      <w:spacing w:after="0" w:line="240" w:lineRule="auto"/>
    </w:pPr>
    <w:tblPr>
      <w:tblStyleRowBandSize w:val="1"/>
      <w:tblStyleColBandSize w:val="1"/>
      <w:tblBorders>
        <w:top w:val="single" w:sz="4" w:space="0" w:color="FBEBAB" w:themeColor="accent4" w:themeTint="66"/>
        <w:left w:val="single" w:sz="4" w:space="0" w:color="FBEBAB" w:themeColor="accent4" w:themeTint="66"/>
        <w:bottom w:val="single" w:sz="4" w:space="0" w:color="FBEBAB" w:themeColor="accent4" w:themeTint="66"/>
        <w:right w:val="single" w:sz="4" w:space="0" w:color="FBEBAB" w:themeColor="accent4" w:themeTint="66"/>
        <w:insideH w:val="single" w:sz="4" w:space="0" w:color="FBEBAB" w:themeColor="accent4" w:themeTint="66"/>
        <w:insideV w:val="single" w:sz="4" w:space="0" w:color="FBEB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3-isticanje5">
    <w:name w:val="List Table 3 Accent 5"/>
    <w:basedOn w:val="Obinatablica"/>
    <w:uiPriority w:val="48"/>
    <w:rsid w:val="001B4A0A"/>
    <w:pPr>
      <w:spacing w:after="0" w:line="240" w:lineRule="auto"/>
    </w:pPr>
    <w:tblPr>
      <w:tblStyleRowBandSize w:val="1"/>
      <w:tblStyleColBandSize w:val="1"/>
      <w:tblBorders>
        <w:top w:val="single" w:sz="4" w:space="0" w:color="AEBAD5" w:themeColor="accent5"/>
        <w:left w:val="single" w:sz="4" w:space="0" w:color="AEBAD5" w:themeColor="accent5"/>
        <w:bottom w:val="single" w:sz="4" w:space="0" w:color="AEBAD5" w:themeColor="accent5"/>
        <w:right w:val="single" w:sz="4" w:space="0" w:color="AEBA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AD5" w:themeFill="accent5"/>
      </w:tcPr>
    </w:tblStylePr>
    <w:tblStylePr w:type="lastRow">
      <w:rPr>
        <w:b/>
        <w:bCs/>
      </w:rPr>
      <w:tblPr/>
      <w:tcPr>
        <w:tcBorders>
          <w:top w:val="double" w:sz="4" w:space="0" w:color="AEBA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AD5" w:themeColor="accent5"/>
          <w:right w:val="single" w:sz="4" w:space="0" w:color="AEBAD5" w:themeColor="accent5"/>
        </w:tcBorders>
      </w:tcPr>
    </w:tblStylePr>
    <w:tblStylePr w:type="band1Horz">
      <w:tblPr/>
      <w:tcPr>
        <w:tcBorders>
          <w:top w:val="single" w:sz="4" w:space="0" w:color="AEBAD5" w:themeColor="accent5"/>
          <w:bottom w:val="single" w:sz="4" w:space="0" w:color="AEBA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AD5" w:themeColor="accent5"/>
          <w:left w:val="nil"/>
        </w:tcBorders>
      </w:tcPr>
    </w:tblStylePr>
    <w:tblStylePr w:type="swCell">
      <w:tblPr/>
      <w:tcPr>
        <w:tcBorders>
          <w:top w:val="double" w:sz="4" w:space="0" w:color="AEBAD5" w:themeColor="accent5"/>
          <w:right w:val="nil"/>
        </w:tcBorders>
      </w:tcPr>
    </w:tblStylePr>
  </w:style>
  <w:style w:type="table" w:styleId="Tablicareetke1svijetlo-isticanje2">
    <w:name w:val="Grid Table 1 Light Accent 2"/>
    <w:basedOn w:val="Obinatablica"/>
    <w:uiPriority w:val="46"/>
    <w:rsid w:val="002C2BE1"/>
    <w:pPr>
      <w:spacing w:after="0" w:line="240" w:lineRule="auto"/>
    </w:pPr>
    <w:tblPr>
      <w:tblStyleRowBandSize w:val="1"/>
      <w:tblStyleColBandSize w:val="1"/>
      <w:tblBorders>
        <w:top w:val="single" w:sz="4" w:space="0" w:color="C7D5EF" w:themeColor="accent2" w:themeTint="66"/>
        <w:left w:val="single" w:sz="4" w:space="0" w:color="C7D5EF" w:themeColor="accent2" w:themeTint="66"/>
        <w:bottom w:val="single" w:sz="4" w:space="0" w:color="C7D5EF" w:themeColor="accent2" w:themeTint="66"/>
        <w:right w:val="single" w:sz="4" w:space="0" w:color="C7D5EF" w:themeColor="accent2" w:themeTint="66"/>
        <w:insideH w:val="single" w:sz="4" w:space="0" w:color="C7D5EF" w:themeColor="accent2" w:themeTint="66"/>
        <w:insideV w:val="single" w:sz="4" w:space="0" w:color="C7D5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CC1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4-isticanje2">
    <w:name w:val="List Table 4 Accent 2"/>
    <w:basedOn w:val="Obinatablica"/>
    <w:uiPriority w:val="49"/>
    <w:rsid w:val="002C2BE1"/>
    <w:pPr>
      <w:spacing w:after="0" w:line="240" w:lineRule="auto"/>
    </w:pPr>
    <w:tblPr>
      <w:tblStyleRowBandSize w:val="1"/>
      <w:tblStyleColBandSize w:val="1"/>
      <w:tblBorders>
        <w:top w:val="single" w:sz="4" w:space="0" w:color="ACC1E8" w:themeColor="accent2" w:themeTint="99"/>
        <w:left w:val="single" w:sz="4" w:space="0" w:color="ACC1E8" w:themeColor="accent2" w:themeTint="99"/>
        <w:bottom w:val="single" w:sz="4" w:space="0" w:color="ACC1E8" w:themeColor="accent2" w:themeTint="99"/>
        <w:right w:val="single" w:sz="4" w:space="0" w:color="ACC1E8" w:themeColor="accent2" w:themeTint="99"/>
        <w:insideH w:val="single" w:sz="4" w:space="0" w:color="ACC1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98D9" w:themeColor="accent2"/>
          <w:left w:val="single" w:sz="4" w:space="0" w:color="7598D9" w:themeColor="accent2"/>
          <w:bottom w:val="single" w:sz="4" w:space="0" w:color="7598D9" w:themeColor="accent2"/>
          <w:right w:val="single" w:sz="4" w:space="0" w:color="7598D9" w:themeColor="accent2"/>
          <w:insideH w:val="nil"/>
        </w:tcBorders>
        <w:shd w:val="clear" w:color="auto" w:fill="7598D9" w:themeFill="accent2"/>
      </w:tcPr>
    </w:tblStylePr>
    <w:tblStylePr w:type="lastRow">
      <w:rPr>
        <w:b/>
        <w:bCs/>
      </w:rPr>
      <w:tblPr/>
      <w:tcPr>
        <w:tcBorders>
          <w:top w:val="double" w:sz="4" w:space="0" w:color="ACC1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AF7" w:themeFill="accent2" w:themeFillTint="33"/>
      </w:tcPr>
    </w:tblStylePr>
    <w:tblStylePr w:type="band1Horz">
      <w:tblPr/>
      <w:tcPr>
        <w:shd w:val="clear" w:color="auto" w:fill="E3EAF7" w:themeFill="accent2" w:themeFillTint="33"/>
      </w:tcPr>
    </w:tblStylePr>
  </w:style>
  <w:style w:type="table" w:styleId="ivopisnatablicapopisa6">
    <w:name w:val="List Table 6 Colorful"/>
    <w:basedOn w:val="Obinatablica"/>
    <w:uiPriority w:val="51"/>
    <w:rsid w:val="00BC07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4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7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004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3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2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0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0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&#269;unovodstvo\AppData\Roaming\Microsoft\Predlo&#353;ci\Izvje&#353;&#263;e%20(tema%20Oriel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8797C8-DA9B-4158-8BE1-FEACDF9A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Izvješće (tema Oriel).dotx</Template>
  <TotalTime>2007</TotalTime>
  <Pages>1</Pages>
  <Words>3461</Words>
  <Characters>19729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Knj14</dc:creator>
  <cp:keywords/>
  <cp:lastModifiedBy>racunovodstvo@lipovljani.hr</cp:lastModifiedBy>
  <cp:revision>232</cp:revision>
  <cp:lastPrinted>2024-07-08T10:27:00Z</cp:lastPrinted>
  <dcterms:created xsi:type="dcterms:W3CDTF">2017-01-27T09:04:00Z</dcterms:created>
  <dcterms:modified xsi:type="dcterms:W3CDTF">2025-08-22T12:02:00Z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