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il1"/>
        <w:tblpPr w:leftFromText="187" w:rightFromText="187" w:vertAnchor="page" w:horzAnchor="margin" w:tblpY="1417"/>
        <w:tblW w:w="9206" w:type="dxa"/>
        <w:tblLook w:val="04A0" w:firstRow="1" w:lastRow="0" w:firstColumn="1" w:lastColumn="0" w:noHBand="0" w:noVBand="1"/>
      </w:tblPr>
      <w:tblGrid>
        <w:gridCol w:w="629"/>
        <w:gridCol w:w="8577"/>
      </w:tblGrid>
      <w:tr w:rsidR="00643313" w14:paraId="27DEC352" w14:textId="77777777" w:rsidTr="00882E13">
        <w:trPr>
          <w:trHeight w:val="1727"/>
        </w:trPr>
        <w:tc>
          <w:tcPr>
            <w:tcW w:w="629" w:type="dxa"/>
          </w:tcPr>
          <w:p w14:paraId="71A74CD8" w14:textId="77777777" w:rsidR="00643313" w:rsidRPr="00E751E6" w:rsidRDefault="00643313" w:rsidP="00CC6106">
            <w:pPr>
              <w:jc w:val="both"/>
              <w:rPr>
                <w:b/>
                <w:bCs/>
                <w:color w:val="FFFFFF"/>
              </w:rPr>
            </w:pPr>
          </w:p>
        </w:tc>
        <w:tc>
          <w:tcPr>
            <w:tcW w:w="8577" w:type="dxa"/>
          </w:tcPr>
          <w:p w14:paraId="3A3BEC23" w14:textId="77777777" w:rsidR="00643313" w:rsidRPr="00E751E6" w:rsidRDefault="00643313" w:rsidP="00CC6106">
            <w:pPr>
              <w:pStyle w:val="Bezproreda"/>
              <w:rPr>
                <w:rFonts w:ascii="Cambria" w:eastAsia="Times New Roman" w:hAnsi="Cambria"/>
                <w:b/>
                <w:bCs/>
                <w:color w:val="FFFFFF"/>
                <w:sz w:val="72"/>
                <w:szCs w:val="72"/>
              </w:rPr>
            </w:pPr>
            <w:r w:rsidRPr="00E751E6">
              <w:rPr>
                <w:rFonts w:ascii="Cambria" w:eastAsia="Times New Roman" w:hAnsi="Cambria"/>
                <w:b/>
                <w:bCs/>
                <w:noProof/>
                <w:color w:val="1F497D"/>
                <w:sz w:val="72"/>
                <w:szCs w:val="72"/>
                <w:lang w:eastAsia="hr-HR"/>
              </w:rPr>
              <w:drawing>
                <wp:inline distT="0" distB="0" distL="0" distR="0" wp14:anchorId="01F93DD6" wp14:editId="51C5F902">
                  <wp:extent cx="431800" cy="546100"/>
                  <wp:effectExtent l="0" t="0" r="6350" b="6350"/>
                  <wp:docPr id="1" name="Slika 1" descr="C:\Documents and Settings\Korisnik\My Documents\My Pictures\GRB hr)sk-l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Korisnik\My Documents\My Pictures\GRB hr)sk-lp.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546100"/>
                          </a:xfrm>
                          <a:prstGeom prst="rect">
                            <a:avLst/>
                          </a:prstGeom>
                          <a:noFill/>
                          <a:ln>
                            <a:noFill/>
                          </a:ln>
                        </pic:spPr>
                      </pic:pic>
                    </a:graphicData>
                  </a:graphic>
                </wp:inline>
              </w:drawing>
            </w:r>
          </w:p>
        </w:tc>
      </w:tr>
      <w:tr w:rsidR="00643313" w:rsidRPr="00F17B02" w14:paraId="502E3F35" w14:textId="77777777" w:rsidTr="00882E13">
        <w:trPr>
          <w:trHeight w:val="49"/>
        </w:trPr>
        <w:tc>
          <w:tcPr>
            <w:tcW w:w="629" w:type="dxa"/>
          </w:tcPr>
          <w:p w14:paraId="27F7FB01" w14:textId="77777777" w:rsidR="00643313" w:rsidRPr="00F17B02" w:rsidRDefault="00643313" w:rsidP="0082647E">
            <w:pPr>
              <w:rPr>
                <w:rFonts w:ascii="Arial" w:hAnsi="Arial" w:cs="Arial"/>
                <w:bCs/>
              </w:rPr>
            </w:pPr>
          </w:p>
        </w:tc>
        <w:tc>
          <w:tcPr>
            <w:tcW w:w="8577" w:type="dxa"/>
          </w:tcPr>
          <w:p w14:paraId="6F652383" w14:textId="77777777" w:rsidR="00643313" w:rsidRPr="00F17B02" w:rsidRDefault="00643313" w:rsidP="0082647E">
            <w:pPr>
              <w:pStyle w:val="Bezproreda"/>
              <w:rPr>
                <w:rFonts w:ascii="Arial" w:hAnsi="Arial" w:cs="Arial"/>
                <w:color w:val="1F497D"/>
                <w:sz w:val="28"/>
                <w:szCs w:val="28"/>
              </w:rPr>
            </w:pPr>
          </w:p>
          <w:p w14:paraId="161043BD" w14:textId="77777777" w:rsidR="00643313" w:rsidRPr="00492065" w:rsidRDefault="00643313" w:rsidP="006A14FF">
            <w:pPr>
              <w:pStyle w:val="Bezproreda"/>
              <w:rPr>
                <w:rFonts w:ascii="Arial Narrow" w:hAnsi="Arial Narrow" w:cs="Arial"/>
                <w:color w:val="1F497D"/>
                <w:sz w:val="28"/>
                <w:szCs w:val="28"/>
              </w:rPr>
            </w:pPr>
            <w:r w:rsidRPr="00492065">
              <w:rPr>
                <w:rFonts w:ascii="Arial Narrow" w:hAnsi="Arial Narrow" w:cs="Arial"/>
                <w:color w:val="1F497D"/>
                <w:sz w:val="28"/>
                <w:szCs w:val="28"/>
              </w:rPr>
              <w:t>OPĆINA LIPOVLJANI</w:t>
            </w:r>
          </w:p>
          <w:p w14:paraId="090379E9" w14:textId="77777777" w:rsidR="00643313" w:rsidRPr="00492065" w:rsidRDefault="00643313" w:rsidP="006A14FF">
            <w:pPr>
              <w:pStyle w:val="Bezproreda"/>
              <w:rPr>
                <w:rFonts w:ascii="Arial Narrow" w:hAnsi="Arial Narrow" w:cs="Arial"/>
                <w:color w:val="1F497D"/>
                <w:sz w:val="28"/>
                <w:szCs w:val="28"/>
              </w:rPr>
            </w:pPr>
          </w:p>
          <w:p w14:paraId="6568A7B9" w14:textId="77777777" w:rsidR="00643313" w:rsidRPr="00492065" w:rsidRDefault="00643313" w:rsidP="006A14FF">
            <w:pPr>
              <w:pStyle w:val="Bezproreda"/>
              <w:rPr>
                <w:rFonts w:ascii="Arial Narrow" w:hAnsi="Arial Narrow" w:cs="Arial"/>
                <w:color w:val="1F497D"/>
                <w:sz w:val="28"/>
                <w:szCs w:val="28"/>
              </w:rPr>
            </w:pPr>
          </w:p>
          <w:p w14:paraId="7AF75A5E" w14:textId="77777777" w:rsidR="00643313" w:rsidRPr="00F7369D" w:rsidRDefault="00F7369D" w:rsidP="006A14FF">
            <w:pPr>
              <w:pStyle w:val="Bezproreda"/>
              <w:rPr>
                <w:rFonts w:ascii="Arial Narrow" w:hAnsi="Arial Narrow" w:cs="Arial"/>
                <w:color w:val="1F497D"/>
              </w:rPr>
            </w:pPr>
            <w:r>
              <w:rPr>
                <w:rFonts w:ascii="Arial Narrow" w:hAnsi="Arial Narrow" w:cs="Arial"/>
                <w:color w:val="1F497D"/>
              </w:rPr>
              <w:t>Trg h</w:t>
            </w:r>
            <w:r w:rsidR="00643313" w:rsidRPr="00F7369D">
              <w:rPr>
                <w:rFonts w:ascii="Arial Narrow" w:hAnsi="Arial Narrow" w:cs="Arial"/>
                <w:color w:val="1F497D"/>
              </w:rPr>
              <w:t xml:space="preserve">rvatskih branitelja 3, </w:t>
            </w:r>
          </w:p>
          <w:p w14:paraId="7E52B324" w14:textId="77777777" w:rsidR="00643313" w:rsidRPr="00F7369D" w:rsidRDefault="00643313" w:rsidP="006A14FF">
            <w:pPr>
              <w:pStyle w:val="Bezproreda"/>
              <w:rPr>
                <w:rFonts w:ascii="Arial Narrow" w:hAnsi="Arial Narrow" w:cs="Arial"/>
                <w:color w:val="1F497D"/>
              </w:rPr>
            </w:pPr>
            <w:r w:rsidRPr="00F7369D">
              <w:rPr>
                <w:rFonts w:ascii="Arial Narrow" w:hAnsi="Arial Narrow" w:cs="Arial"/>
                <w:color w:val="1F497D"/>
              </w:rPr>
              <w:t>44322 Lipovljani</w:t>
            </w:r>
          </w:p>
          <w:p w14:paraId="45AF7AF7" w14:textId="77777777" w:rsidR="00643313" w:rsidRPr="00492065" w:rsidRDefault="00643313" w:rsidP="006A14FF">
            <w:pPr>
              <w:pStyle w:val="Bezproreda"/>
              <w:rPr>
                <w:rFonts w:ascii="Arial Narrow" w:hAnsi="Arial Narrow" w:cs="Arial"/>
                <w:color w:val="1F497D"/>
                <w:sz w:val="20"/>
                <w:szCs w:val="20"/>
              </w:rPr>
            </w:pPr>
          </w:p>
          <w:p w14:paraId="780D3E8D" w14:textId="77777777" w:rsidR="00643313" w:rsidRPr="00492065" w:rsidRDefault="00643313" w:rsidP="006A14FF">
            <w:pPr>
              <w:pStyle w:val="Bezproreda"/>
              <w:rPr>
                <w:rFonts w:ascii="Arial Narrow" w:hAnsi="Arial Narrow" w:cs="Arial"/>
                <w:color w:val="1F497D"/>
                <w:sz w:val="20"/>
                <w:szCs w:val="20"/>
              </w:rPr>
            </w:pPr>
          </w:p>
          <w:p w14:paraId="2F25ABD9" w14:textId="77777777" w:rsidR="00643313" w:rsidRPr="00492065" w:rsidRDefault="00643313" w:rsidP="006A14FF">
            <w:pPr>
              <w:pStyle w:val="Bezproreda"/>
              <w:rPr>
                <w:rFonts w:ascii="Arial Narrow" w:hAnsi="Arial Narrow" w:cs="Arial"/>
                <w:color w:val="1F497D"/>
                <w:sz w:val="20"/>
                <w:szCs w:val="20"/>
              </w:rPr>
            </w:pPr>
          </w:p>
          <w:tbl>
            <w:tblPr>
              <w:tblW w:w="4419" w:type="dxa"/>
              <w:tblInd w:w="13" w:type="dxa"/>
              <w:tblLook w:val="04A0" w:firstRow="1" w:lastRow="0" w:firstColumn="1" w:lastColumn="0" w:noHBand="0" w:noVBand="1"/>
            </w:tblPr>
            <w:tblGrid>
              <w:gridCol w:w="1929"/>
              <w:gridCol w:w="2490"/>
            </w:tblGrid>
            <w:tr w:rsidR="00643313" w:rsidRPr="00492065" w14:paraId="66B0F879" w14:textId="77777777" w:rsidTr="006A14FF">
              <w:trPr>
                <w:trHeight w:val="307"/>
              </w:trPr>
              <w:tc>
                <w:tcPr>
                  <w:tcW w:w="1929" w:type="dxa"/>
                  <w:tcBorders>
                    <w:top w:val="nil"/>
                    <w:left w:val="nil"/>
                    <w:bottom w:val="nil"/>
                    <w:right w:val="nil"/>
                  </w:tcBorders>
                  <w:shd w:val="clear" w:color="auto" w:fill="auto"/>
                  <w:noWrap/>
                  <w:hideMark/>
                </w:tcPr>
                <w:p w14:paraId="533E6ACA"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Broj RKP-a:</w:t>
                  </w:r>
                </w:p>
              </w:tc>
              <w:tc>
                <w:tcPr>
                  <w:tcW w:w="2490" w:type="dxa"/>
                  <w:tcBorders>
                    <w:top w:val="nil"/>
                    <w:left w:val="nil"/>
                    <w:bottom w:val="nil"/>
                    <w:right w:val="nil"/>
                  </w:tcBorders>
                  <w:shd w:val="clear" w:color="auto" w:fill="auto"/>
                  <w:noWrap/>
                  <w:hideMark/>
                </w:tcPr>
                <w:p w14:paraId="1C93A1C0"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28975</w:t>
                  </w:r>
                </w:p>
              </w:tc>
            </w:tr>
            <w:tr w:rsidR="00643313" w:rsidRPr="00492065" w14:paraId="24BEC0D1" w14:textId="77777777" w:rsidTr="006A14FF">
              <w:trPr>
                <w:trHeight w:val="288"/>
              </w:trPr>
              <w:tc>
                <w:tcPr>
                  <w:tcW w:w="1929" w:type="dxa"/>
                  <w:tcBorders>
                    <w:top w:val="nil"/>
                    <w:left w:val="nil"/>
                    <w:bottom w:val="nil"/>
                    <w:right w:val="nil"/>
                  </w:tcBorders>
                  <w:shd w:val="clear" w:color="auto" w:fill="auto"/>
                  <w:noWrap/>
                  <w:hideMark/>
                </w:tcPr>
                <w:p w14:paraId="2E391CDD"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Matični broj:</w:t>
                  </w:r>
                </w:p>
              </w:tc>
              <w:tc>
                <w:tcPr>
                  <w:tcW w:w="2490" w:type="dxa"/>
                  <w:tcBorders>
                    <w:top w:val="nil"/>
                    <w:left w:val="nil"/>
                    <w:bottom w:val="nil"/>
                    <w:right w:val="nil"/>
                  </w:tcBorders>
                  <w:shd w:val="clear" w:color="auto" w:fill="auto"/>
                  <w:noWrap/>
                  <w:hideMark/>
                </w:tcPr>
                <w:p w14:paraId="60151B22"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02575051</w:t>
                  </w:r>
                </w:p>
              </w:tc>
            </w:tr>
            <w:tr w:rsidR="00643313" w:rsidRPr="00492065" w14:paraId="0BBAB88C" w14:textId="77777777" w:rsidTr="006A14FF">
              <w:trPr>
                <w:trHeight w:val="288"/>
              </w:trPr>
              <w:tc>
                <w:tcPr>
                  <w:tcW w:w="1929" w:type="dxa"/>
                  <w:tcBorders>
                    <w:top w:val="nil"/>
                    <w:left w:val="nil"/>
                    <w:bottom w:val="nil"/>
                    <w:right w:val="nil"/>
                  </w:tcBorders>
                  <w:shd w:val="clear" w:color="auto" w:fill="auto"/>
                  <w:noWrap/>
                  <w:hideMark/>
                </w:tcPr>
                <w:p w14:paraId="44F7E71F"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OIB:</w:t>
                  </w:r>
                </w:p>
              </w:tc>
              <w:tc>
                <w:tcPr>
                  <w:tcW w:w="2490" w:type="dxa"/>
                  <w:tcBorders>
                    <w:top w:val="nil"/>
                    <w:left w:val="nil"/>
                    <w:bottom w:val="nil"/>
                    <w:right w:val="nil"/>
                  </w:tcBorders>
                  <w:shd w:val="clear" w:color="auto" w:fill="auto"/>
                  <w:noWrap/>
                  <w:hideMark/>
                </w:tcPr>
                <w:p w14:paraId="756A57E4"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32047047076</w:t>
                  </w:r>
                </w:p>
              </w:tc>
            </w:tr>
            <w:tr w:rsidR="00643313" w:rsidRPr="00492065" w14:paraId="30BF5F26" w14:textId="77777777" w:rsidTr="006A14FF">
              <w:trPr>
                <w:trHeight w:val="288"/>
              </w:trPr>
              <w:tc>
                <w:tcPr>
                  <w:tcW w:w="1929" w:type="dxa"/>
                  <w:tcBorders>
                    <w:top w:val="nil"/>
                    <w:left w:val="nil"/>
                    <w:bottom w:val="nil"/>
                    <w:right w:val="nil"/>
                  </w:tcBorders>
                  <w:shd w:val="clear" w:color="auto" w:fill="auto"/>
                  <w:noWrap/>
                  <w:hideMark/>
                </w:tcPr>
                <w:p w14:paraId="154689EF"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Razina:</w:t>
                  </w:r>
                </w:p>
              </w:tc>
              <w:tc>
                <w:tcPr>
                  <w:tcW w:w="2490" w:type="dxa"/>
                  <w:tcBorders>
                    <w:top w:val="nil"/>
                    <w:left w:val="nil"/>
                    <w:bottom w:val="nil"/>
                    <w:right w:val="nil"/>
                  </w:tcBorders>
                  <w:shd w:val="clear" w:color="auto" w:fill="auto"/>
                  <w:noWrap/>
                  <w:hideMark/>
                </w:tcPr>
                <w:p w14:paraId="4E265CB5"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22</w:t>
                  </w:r>
                </w:p>
              </w:tc>
            </w:tr>
            <w:tr w:rsidR="00643313" w:rsidRPr="00492065" w14:paraId="11EE0622" w14:textId="77777777" w:rsidTr="006A14FF">
              <w:trPr>
                <w:trHeight w:val="288"/>
              </w:trPr>
              <w:tc>
                <w:tcPr>
                  <w:tcW w:w="1929" w:type="dxa"/>
                  <w:tcBorders>
                    <w:top w:val="nil"/>
                    <w:left w:val="nil"/>
                    <w:bottom w:val="nil"/>
                    <w:right w:val="nil"/>
                  </w:tcBorders>
                  <w:shd w:val="clear" w:color="auto" w:fill="auto"/>
                  <w:noWrap/>
                  <w:hideMark/>
                </w:tcPr>
                <w:p w14:paraId="38B21503"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Šifra djelatnosti:</w:t>
                  </w:r>
                </w:p>
              </w:tc>
              <w:tc>
                <w:tcPr>
                  <w:tcW w:w="2490" w:type="dxa"/>
                  <w:tcBorders>
                    <w:top w:val="nil"/>
                    <w:left w:val="nil"/>
                    <w:bottom w:val="nil"/>
                    <w:right w:val="nil"/>
                  </w:tcBorders>
                  <w:shd w:val="clear" w:color="auto" w:fill="auto"/>
                  <w:noWrap/>
                  <w:hideMark/>
                </w:tcPr>
                <w:p w14:paraId="22DCF69F"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8411</w:t>
                  </w:r>
                </w:p>
              </w:tc>
            </w:tr>
            <w:tr w:rsidR="00643313" w:rsidRPr="00492065" w14:paraId="000EE6CF" w14:textId="77777777" w:rsidTr="006A14FF">
              <w:trPr>
                <w:trHeight w:val="288"/>
              </w:trPr>
              <w:tc>
                <w:tcPr>
                  <w:tcW w:w="1929" w:type="dxa"/>
                  <w:tcBorders>
                    <w:top w:val="nil"/>
                    <w:left w:val="nil"/>
                    <w:bottom w:val="nil"/>
                    <w:right w:val="nil"/>
                  </w:tcBorders>
                  <w:shd w:val="clear" w:color="auto" w:fill="auto"/>
                  <w:noWrap/>
                  <w:hideMark/>
                </w:tcPr>
                <w:p w14:paraId="736E0E0E" w14:textId="77777777" w:rsidR="00643313" w:rsidRPr="00F7369D" w:rsidRDefault="00F7369D" w:rsidP="00021B36">
                  <w:pPr>
                    <w:framePr w:hSpace="187" w:wrap="around" w:vAnchor="page" w:hAnchor="margin" w:y="1417"/>
                    <w:spacing w:after="0" w:line="240" w:lineRule="auto"/>
                    <w:rPr>
                      <w:rFonts w:ascii="Arial Narrow" w:eastAsia="Times New Roman" w:hAnsi="Arial Narrow" w:cs="Arial"/>
                      <w:bCs/>
                      <w:color w:val="1F497D"/>
                      <w:lang w:eastAsia="hr-HR"/>
                    </w:rPr>
                  </w:pPr>
                  <w:r>
                    <w:rPr>
                      <w:rFonts w:ascii="Arial Narrow" w:eastAsia="Times New Roman" w:hAnsi="Arial Narrow" w:cs="Arial"/>
                      <w:bCs/>
                      <w:color w:val="1F497D"/>
                      <w:lang w:eastAsia="hr-HR"/>
                    </w:rPr>
                    <w:t>Šifra grada/općine</w:t>
                  </w:r>
                  <w:r w:rsidR="00643313" w:rsidRPr="00F7369D">
                    <w:rPr>
                      <w:rFonts w:ascii="Arial Narrow" w:eastAsia="Times New Roman" w:hAnsi="Arial Narrow" w:cs="Arial"/>
                      <w:bCs/>
                      <w:color w:val="1F497D"/>
                      <w:lang w:eastAsia="hr-HR"/>
                    </w:rPr>
                    <w:t>:</w:t>
                  </w:r>
                </w:p>
              </w:tc>
              <w:tc>
                <w:tcPr>
                  <w:tcW w:w="2490" w:type="dxa"/>
                  <w:tcBorders>
                    <w:top w:val="nil"/>
                    <w:left w:val="nil"/>
                    <w:bottom w:val="nil"/>
                    <w:right w:val="nil"/>
                  </w:tcBorders>
                  <w:shd w:val="clear" w:color="auto" w:fill="auto"/>
                  <w:noWrap/>
                  <w:hideMark/>
                </w:tcPr>
                <w:p w14:paraId="601E28C5" w14:textId="77777777" w:rsidR="00643313" w:rsidRPr="00F7369D" w:rsidRDefault="00643313" w:rsidP="00021B36">
                  <w:pPr>
                    <w:framePr w:hSpace="187" w:wrap="around" w:vAnchor="page" w:hAnchor="margin" w:y="1417"/>
                    <w:spacing w:after="0" w:line="240" w:lineRule="auto"/>
                    <w:rPr>
                      <w:rFonts w:ascii="Arial Narrow" w:eastAsia="Times New Roman" w:hAnsi="Arial Narrow" w:cs="Arial"/>
                      <w:bCs/>
                      <w:color w:val="1F497D"/>
                      <w:lang w:eastAsia="hr-HR"/>
                    </w:rPr>
                  </w:pPr>
                  <w:r w:rsidRPr="00F7369D">
                    <w:rPr>
                      <w:rFonts w:ascii="Arial Narrow" w:eastAsia="Times New Roman" w:hAnsi="Arial Narrow" w:cs="Arial"/>
                      <w:bCs/>
                      <w:color w:val="1F497D"/>
                      <w:lang w:eastAsia="hr-HR"/>
                    </w:rPr>
                    <w:t>232</w:t>
                  </w:r>
                </w:p>
              </w:tc>
            </w:tr>
          </w:tbl>
          <w:p w14:paraId="56B9537D" w14:textId="77777777" w:rsidR="00643313" w:rsidRPr="00492065" w:rsidRDefault="00643313" w:rsidP="006A14FF">
            <w:pPr>
              <w:pStyle w:val="Bezproreda"/>
              <w:rPr>
                <w:rFonts w:ascii="Arial Narrow" w:hAnsi="Arial Narrow" w:cs="Arial"/>
                <w:color w:val="1F497D"/>
                <w:sz w:val="28"/>
                <w:szCs w:val="28"/>
              </w:rPr>
            </w:pPr>
          </w:p>
          <w:p w14:paraId="1EC4B669" w14:textId="77777777" w:rsidR="00643313" w:rsidRPr="00F17B02" w:rsidRDefault="00643313" w:rsidP="0082647E">
            <w:pPr>
              <w:pStyle w:val="Bezproreda"/>
              <w:rPr>
                <w:rFonts w:ascii="Arial" w:hAnsi="Arial" w:cs="Arial"/>
                <w:color w:val="1F497D"/>
                <w:sz w:val="28"/>
                <w:szCs w:val="28"/>
              </w:rPr>
            </w:pPr>
          </w:p>
          <w:p w14:paraId="7B968CA5" w14:textId="77777777" w:rsidR="00643313" w:rsidRPr="00F17B02" w:rsidRDefault="00643313" w:rsidP="0082647E">
            <w:pPr>
              <w:pStyle w:val="Bezproreda"/>
              <w:rPr>
                <w:rFonts w:ascii="Arial" w:hAnsi="Arial" w:cs="Arial"/>
                <w:color w:val="1F497D"/>
              </w:rPr>
            </w:pPr>
          </w:p>
          <w:p w14:paraId="599E801D" w14:textId="30CB0FC8" w:rsidR="00643313" w:rsidRPr="00330ABA" w:rsidRDefault="00F66282" w:rsidP="00F66282">
            <w:pPr>
              <w:pStyle w:val="Bezproreda"/>
              <w:rPr>
                <w:bCs/>
                <w:color w:val="2F5496" w:themeColor="accent5" w:themeShade="BF"/>
                <w:sz w:val="28"/>
                <w:szCs w:val="28"/>
              </w:rPr>
            </w:pPr>
            <w:r w:rsidRPr="00330ABA">
              <w:rPr>
                <w:bCs/>
                <w:color w:val="2F5496" w:themeColor="accent5" w:themeShade="BF"/>
                <w:sz w:val="28"/>
                <w:szCs w:val="28"/>
              </w:rPr>
              <w:t>Ob</w:t>
            </w:r>
            <w:r w:rsidR="00330ABA">
              <w:rPr>
                <w:bCs/>
                <w:color w:val="2F5496" w:themeColor="accent5" w:themeShade="BF"/>
                <w:sz w:val="28"/>
                <w:szCs w:val="28"/>
              </w:rPr>
              <w:t>razloženje općinskog proračuna O</w:t>
            </w:r>
            <w:r w:rsidRPr="00330ABA">
              <w:rPr>
                <w:bCs/>
                <w:color w:val="2F5496" w:themeColor="accent5" w:themeShade="BF"/>
                <w:sz w:val="28"/>
                <w:szCs w:val="28"/>
              </w:rPr>
              <w:t>pćine Lipovljani za 202</w:t>
            </w:r>
            <w:r w:rsidR="00AC127D">
              <w:rPr>
                <w:bCs/>
                <w:color w:val="2F5496" w:themeColor="accent5" w:themeShade="BF"/>
                <w:sz w:val="28"/>
                <w:szCs w:val="28"/>
              </w:rPr>
              <w:t>5</w:t>
            </w:r>
            <w:r w:rsidRPr="00330ABA">
              <w:rPr>
                <w:bCs/>
                <w:color w:val="2F5496" w:themeColor="accent5" w:themeShade="BF"/>
                <w:sz w:val="28"/>
                <w:szCs w:val="28"/>
              </w:rPr>
              <w:t>.g.</w:t>
            </w:r>
          </w:p>
          <w:p w14:paraId="30A5C136" w14:textId="77777777" w:rsidR="00643313" w:rsidRPr="00F66282" w:rsidRDefault="00643313" w:rsidP="0082647E">
            <w:pPr>
              <w:pStyle w:val="Bezproreda"/>
              <w:rPr>
                <w:rFonts w:ascii="Arial" w:hAnsi="Arial" w:cs="Arial"/>
                <w:color w:val="1F497D"/>
                <w:sz w:val="28"/>
                <w:szCs w:val="28"/>
              </w:rPr>
            </w:pPr>
          </w:p>
          <w:p w14:paraId="61F204F0" w14:textId="77777777" w:rsidR="00643313" w:rsidRPr="00F17B02" w:rsidRDefault="00643313" w:rsidP="00CA4C9A">
            <w:pPr>
              <w:pStyle w:val="Bezproreda"/>
              <w:jc w:val="center"/>
              <w:rPr>
                <w:rFonts w:ascii="Arial" w:hAnsi="Arial" w:cs="Arial"/>
                <w:color w:val="1F497D"/>
              </w:rPr>
            </w:pPr>
          </w:p>
          <w:p w14:paraId="1CB4609A" w14:textId="77777777" w:rsidR="00643313" w:rsidRDefault="00643313" w:rsidP="0082647E">
            <w:pPr>
              <w:pStyle w:val="Bezproreda"/>
              <w:rPr>
                <w:rFonts w:ascii="Arial" w:hAnsi="Arial" w:cs="Arial"/>
                <w:color w:val="1F497D"/>
              </w:rPr>
            </w:pPr>
          </w:p>
          <w:p w14:paraId="4EEABF9F" w14:textId="77777777" w:rsidR="00882E13" w:rsidRPr="00F17B02" w:rsidRDefault="00882E13" w:rsidP="0082647E">
            <w:pPr>
              <w:pStyle w:val="Bezproreda"/>
              <w:rPr>
                <w:rFonts w:ascii="Arial" w:hAnsi="Arial" w:cs="Arial"/>
                <w:color w:val="1F497D"/>
              </w:rPr>
            </w:pPr>
          </w:p>
          <w:p w14:paraId="1EC62223" w14:textId="77777777" w:rsidR="00643313" w:rsidRPr="00F17B02" w:rsidRDefault="00643313" w:rsidP="0082647E">
            <w:pPr>
              <w:pStyle w:val="Bezproreda"/>
              <w:rPr>
                <w:rFonts w:ascii="Arial" w:hAnsi="Arial" w:cs="Arial"/>
                <w:color w:val="1F497D"/>
              </w:rPr>
            </w:pPr>
          </w:p>
          <w:p w14:paraId="3218575B" w14:textId="77777777" w:rsidR="00643313" w:rsidRPr="00F17B02" w:rsidRDefault="00643313" w:rsidP="0082647E">
            <w:pPr>
              <w:pStyle w:val="Bezproreda"/>
              <w:rPr>
                <w:rFonts w:ascii="Arial" w:hAnsi="Arial" w:cs="Arial"/>
                <w:color w:val="1F497D"/>
              </w:rPr>
            </w:pPr>
          </w:p>
          <w:p w14:paraId="6ADC1233" w14:textId="77777777" w:rsidR="00643313" w:rsidRDefault="00643313" w:rsidP="0082647E">
            <w:pPr>
              <w:pStyle w:val="Bezproreda"/>
              <w:rPr>
                <w:rFonts w:ascii="Arial" w:hAnsi="Arial" w:cs="Arial"/>
                <w:color w:val="1F497D"/>
              </w:rPr>
            </w:pPr>
          </w:p>
          <w:p w14:paraId="17B32E0F" w14:textId="77777777" w:rsidR="00882E13" w:rsidRDefault="00882E13" w:rsidP="0082647E">
            <w:pPr>
              <w:pStyle w:val="Bezproreda"/>
              <w:rPr>
                <w:rFonts w:ascii="Arial" w:hAnsi="Arial" w:cs="Arial"/>
                <w:color w:val="1F497D"/>
              </w:rPr>
            </w:pPr>
          </w:p>
          <w:p w14:paraId="4FFAAEEB" w14:textId="77777777" w:rsidR="00882E13" w:rsidRDefault="00882E13" w:rsidP="0082647E">
            <w:pPr>
              <w:pStyle w:val="Bezproreda"/>
              <w:rPr>
                <w:rFonts w:ascii="Arial" w:hAnsi="Arial" w:cs="Arial"/>
                <w:color w:val="1F497D"/>
              </w:rPr>
            </w:pPr>
          </w:p>
          <w:p w14:paraId="5F15536C" w14:textId="77777777" w:rsidR="00882E13" w:rsidRPr="00F17B02" w:rsidRDefault="00882E13" w:rsidP="0082647E">
            <w:pPr>
              <w:pStyle w:val="Bezproreda"/>
              <w:rPr>
                <w:rFonts w:ascii="Arial" w:hAnsi="Arial" w:cs="Arial"/>
                <w:color w:val="1F497D"/>
              </w:rPr>
            </w:pPr>
          </w:p>
        </w:tc>
      </w:tr>
    </w:tbl>
    <w:p w14:paraId="6A92BBBB" w14:textId="77777777" w:rsidR="00F66282" w:rsidRDefault="00F66282" w:rsidP="00F66282"/>
    <w:p w14:paraId="145805F4" w14:textId="77777777" w:rsidR="00F66282" w:rsidRDefault="00F66282" w:rsidP="00F66282"/>
    <w:p w14:paraId="7C408D0A" w14:textId="77777777" w:rsidR="00F66282" w:rsidRDefault="00F66282" w:rsidP="00F66282"/>
    <w:p w14:paraId="5F3EC5B7" w14:textId="77777777" w:rsidR="009E4D8F" w:rsidRDefault="009E4D8F" w:rsidP="00585BA4">
      <w:pPr>
        <w:spacing w:after="0"/>
      </w:pPr>
    </w:p>
    <w:p w14:paraId="0DBE57A1" w14:textId="77777777" w:rsidR="009E4D8F" w:rsidRDefault="009E4D8F" w:rsidP="00585BA4">
      <w:pPr>
        <w:spacing w:after="0"/>
      </w:pPr>
    </w:p>
    <w:p w14:paraId="284FAE61" w14:textId="77777777" w:rsidR="009E4D8F" w:rsidRDefault="009E4D8F" w:rsidP="00585BA4">
      <w:pPr>
        <w:spacing w:after="0"/>
      </w:pPr>
    </w:p>
    <w:p w14:paraId="4D9E29C3" w14:textId="77777777" w:rsidR="009E4D8F" w:rsidRDefault="009E4D8F" w:rsidP="00585BA4">
      <w:pPr>
        <w:spacing w:after="0"/>
      </w:pPr>
    </w:p>
    <w:p w14:paraId="031610D4" w14:textId="77777777" w:rsidR="009E4D8F" w:rsidRDefault="009E4D8F" w:rsidP="00585BA4">
      <w:pPr>
        <w:spacing w:after="0"/>
      </w:pPr>
    </w:p>
    <w:p w14:paraId="3A92F770" w14:textId="77777777" w:rsidR="009E4D8F" w:rsidRDefault="009E4D8F" w:rsidP="00585BA4">
      <w:pPr>
        <w:spacing w:after="0"/>
      </w:pPr>
    </w:p>
    <w:p w14:paraId="232B0B2D" w14:textId="77777777" w:rsidR="009E4D8F" w:rsidRDefault="009E4D8F" w:rsidP="00585BA4">
      <w:pPr>
        <w:spacing w:after="0"/>
      </w:pPr>
    </w:p>
    <w:p w14:paraId="6FBE9FDC" w14:textId="77777777" w:rsidR="009E4D8F" w:rsidRDefault="009E4D8F" w:rsidP="00585BA4">
      <w:pPr>
        <w:spacing w:after="0"/>
      </w:pPr>
    </w:p>
    <w:p w14:paraId="66C7EA9D" w14:textId="77777777" w:rsidR="009E4D8F" w:rsidRDefault="009E4D8F" w:rsidP="00585BA4">
      <w:pPr>
        <w:spacing w:after="0"/>
      </w:pPr>
    </w:p>
    <w:p w14:paraId="41C7D5BB" w14:textId="77777777" w:rsidR="009E4D8F" w:rsidRDefault="009E4D8F" w:rsidP="00585BA4">
      <w:pPr>
        <w:spacing w:after="0"/>
      </w:pPr>
    </w:p>
    <w:p w14:paraId="252D679E" w14:textId="77777777" w:rsidR="009E4D8F" w:rsidRDefault="009E4D8F" w:rsidP="00585BA4">
      <w:pPr>
        <w:spacing w:after="0"/>
      </w:pPr>
    </w:p>
    <w:p w14:paraId="708371EF" w14:textId="77777777" w:rsidR="009E4D8F" w:rsidRDefault="009E4D8F" w:rsidP="00585BA4">
      <w:pPr>
        <w:spacing w:after="0"/>
      </w:pPr>
    </w:p>
    <w:p w14:paraId="6B98C27A" w14:textId="77777777" w:rsidR="009E4D8F" w:rsidRDefault="009E4D8F" w:rsidP="00585BA4">
      <w:pPr>
        <w:spacing w:after="0"/>
      </w:pPr>
    </w:p>
    <w:p w14:paraId="186FB66A" w14:textId="77777777" w:rsidR="009E4D8F" w:rsidRDefault="009E4D8F" w:rsidP="00585BA4">
      <w:pPr>
        <w:spacing w:after="0"/>
      </w:pPr>
    </w:p>
    <w:p w14:paraId="2841DFA4" w14:textId="77777777" w:rsidR="009E4D8F" w:rsidRDefault="009E4D8F" w:rsidP="00585BA4">
      <w:pPr>
        <w:spacing w:after="0"/>
      </w:pPr>
    </w:p>
    <w:p w14:paraId="1FEBDC56" w14:textId="77777777" w:rsidR="009E4D8F" w:rsidRDefault="009E4D8F" w:rsidP="00585BA4">
      <w:pPr>
        <w:spacing w:after="0"/>
      </w:pPr>
    </w:p>
    <w:p w14:paraId="17507EA1" w14:textId="77777777" w:rsidR="009E4D8F" w:rsidRDefault="009E4D8F" w:rsidP="00585BA4">
      <w:pPr>
        <w:spacing w:after="0"/>
      </w:pPr>
    </w:p>
    <w:p w14:paraId="305BF985" w14:textId="77777777" w:rsidR="009E4D8F" w:rsidRDefault="009E4D8F" w:rsidP="00585BA4">
      <w:pPr>
        <w:spacing w:after="0"/>
      </w:pPr>
    </w:p>
    <w:p w14:paraId="762AA211" w14:textId="77777777" w:rsidR="009E4D8F" w:rsidRDefault="009E4D8F" w:rsidP="00585BA4">
      <w:pPr>
        <w:spacing w:after="0"/>
      </w:pPr>
    </w:p>
    <w:p w14:paraId="5D3AAD61" w14:textId="77777777" w:rsidR="009E4D8F" w:rsidRDefault="009E4D8F" w:rsidP="00585BA4">
      <w:pPr>
        <w:spacing w:after="0"/>
      </w:pPr>
    </w:p>
    <w:p w14:paraId="2139C67E" w14:textId="77777777" w:rsidR="009E4D8F" w:rsidRDefault="009E4D8F" w:rsidP="00585BA4">
      <w:pPr>
        <w:spacing w:after="0"/>
      </w:pPr>
    </w:p>
    <w:p w14:paraId="219BED5C" w14:textId="77777777" w:rsidR="009E4D8F" w:rsidRDefault="009E4D8F" w:rsidP="00585BA4">
      <w:pPr>
        <w:spacing w:after="0"/>
      </w:pPr>
    </w:p>
    <w:p w14:paraId="36884B22" w14:textId="77777777" w:rsidR="009E4D8F" w:rsidRDefault="009E4D8F" w:rsidP="00585BA4">
      <w:pPr>
        <w:spacing w:after="0"/>
      </w:pPr>
    </w:p>
    <w:p w14:paraId="7E6B878A" w14:textId="77777777" w:rsidR="009E4D8F" w:rsidRDefault="009E4D8F" w:rsidP="00585BA4">
      <w:pPr>
        <w:spacing w:after="0"/>
      </w:pPr>
    </w:p>
    <w:p w14:paraId="55391EDE" w14:textId="77777777" w:rsidR="009E4D8F" w:rsidRDefault="009E4D8F" w:rsidP="00585BA4">
      <w:pPr>
        <w:spacing w:after="0"/>
      </w:pPr>
    </w:p>
    <w:p w14:paraId="49F1457B" w14:textId="77777777" w:rsidR="009E4D8F" w:rsidRDefault="009E4D8F" w:rsidP="00585BA4">
      <w:pPr>
        <w:spacing w:after="0"/>
      </w:pPr>
    </w:p>
    <w:p w14:paraId="417D5326" w14:textId="77777777" w:rsidR="009E4D8F" w:rsidRDefault="009E4D8F" w:rsidP="00585BA4">
      <w:pPr>
        <w:spacing w:after="0"/>
      </w:pPr>
    </w:p>
    <w:p w14:paraId="0EC705E9" w14:textId="77777777" w:rsidR="009E4D8F" w:rsidRDefault="009E4D8F" w:rsidP="00585BA4">
      <w:pPr>
        <w:spacing w:after="0"/>
      </w:pPr>
    </w:p>
    <w:p w14:paraId="53C82746" w14:textId="77777777" w:rsidR="009E4D8F" w:rsidRDefault="009E4D8F" w:rsidP="00585BA4">
      <w:pPr>
        <w:spacing w:after="0"/>
      </w:pPr>
    </w:p>
    <w:p w14:paraId="622FA3A1" w14:textId="77777777" w:rsidR="009E4D8F" w:rsidRDefault="009E4D8F" w:rsidP="00585BA4">
      <w:pPr>
        <w:spacing w:after="0"/>
      </w:pPr>
    </w:p>
    <w:p w14:paraId="55EEE357" w14:textId="77777777" w:rsidR="009E4D8F" w:rsidRDefault="009E4D8F" w:rsidP="00585BA4">
      <w:pPr>
        <w:spacing w:after="0"/>
      </w:pPr>
    </w:p>
    <w:p w14:paraId="7F500E38" w14:textId="77777777" w:rsidR="009E4D8F" w:rsidRDefault="009E4D8F" w:rsidP="00585BA4">
      <w:pPr>
        <w:spacing w:after="0"/>
      </w:pPr>
    </w:p>
    <w:p w14:paraId="20BC60F0" w14:textId="77777777" w:rsidR="009E4D8F" w:rsidRDefault="009E4D8F" w:rsidP="00585BA4">
      <w:pPr>
        <w:spacing w:after="0"/>
      </w:pPr>
    </w:p>
    <w:p w14:paraId="1C6FC694" w14:textId="77777777" w:rsidR="009E4D8F" w:rsidRDefault="009E4D8F" w:rsidP="00585BA4">
      <w:pPr>
        <w:spacing w:after="0"/>
      </w:pPr>
    </w:p>
    <w:p w14:paraId="38CD3B8A" w14:textId="77777777" w:rsidR="009E4D8F" w:rsidRDefault="009E4D8F" w:rsidP="00585BA4">
      <w:pPr>
        <w:spacing w:after="0"/>
      </w:pPr>
    </w:p>
    <w:p w14:paraId="112856A2" w14:textId="77777777" w:rsidR="009E4D8F" w:rsidRDefault="009E4D8F" w:rsidP="00585BA4">
      <w:pPr>
        <w:spacing w:after="0"/>
      </w:pPr>
    </w:p>
    <w:p w14:paraId="62B6132E" w14:textId="77777777" w:rsidR="009E4D8F" w:rsidRDefault="009E4D8F" w:rsidP="00585BA4">
      <w:pPr>
        <w:spacing w:after="0"/>
      </w:pPr>
    </w:p>
    <w:p w14:paraId="7CF8FBCD" w14:textId="77777777" w:rsidR="009E4D8F" w:rsidRDefault="009E4D8F" w:rsidP="00585BA4">
      <w:pPr>
        <w:spacing w:after="0"/>
      </w:pPr>
    </w:p>
    <w:p w14:paraId="2B58BE4A" w14:textId="77777777" w:rsidR="009E4D8F" w:rsidRDefault="009E4D8F" w:rsidP="00585BA4">
      <w:pPr>
        <w:spacing w:after="0"/>
      </w:pPr>
    </w:p>
    <w:p w14:paraId="4BBF134C" w14:textId="77777777" w:rsidR="009E4D8F" w:rsidRDefault="009E4D8F" w:rsidP="00585BA4">
      <w:pPr>
        <w:spacing w:after="0"/>
      </w:pPr>
    </w:p>
    <w:p w14:paraId="444ED2B5" w14:textId="77777777" w:rsidR="009E4D8F" w:rsidRDefault="009E4D8F" w:rsidP="00585BA4">
      <w:pPr>
        <w:spacing w:after="0"/>
      </w:pPr>
    </w:p>
    <w:p w14:paraId="671080F6" w14:textId="77777777" w:rsidR="009E4D8F" w:rsidRDefault="009E4D8F" w:rsidP="00585BA4">
      <w:pPr>
        <w:spacing w:after="0"/>
      </w:pPr>
    </w:p>
    <w:p w14:paraId="78B9F2CD" w14:textId="77777777" w:rsidR="009E4D8F" w:rsidRDefault="009E4D8F" w:rsidP="00585BA4">
      <w:pPr>
        <w:spacing w:after="0"/>
      </w:pPr>
    </w:p>
    <w:p w14:paraId="1591A927" w14:textId="77777777" w:rsidR="009E4D8F" w:rsidRDefault="009E4D8F" w:rsidP="00585BA4">
      <w:pPr>
        <w:spacing w:after="0"/>
      </w:pPr>
    </w:p>
    <w:p w14:paraId="1165C491" w14:textId="4F80AFF2" w:rsidR="00585BA4" w:rsidRPr="00585BA4" w:rsidRDefault="00585BA4" w:rsidP="00585BA4">
      <w:pPr>
        <w:spacing w:after="0"/>
        <w:rPr>
          <w:rFonts w:ascii="Arial Narrow" w:hAnsi="Arial Narrow"/>
        </w:rPr>
      </w:pPr>
      <w:r w:rsidRPr="00585BA4">
        <w:rPr>
          <w:rFonts w:ascii="Arial Narrow" w:hAnsi="Arial Narrow"/>
        </w:rPr>
        <w:t xml:space="preserve">Ministarstvo financija je, sukladno </w:t>
      </w:r>
      <w:r w:rsidR="00AC127D" w:rsidRPr="00AC127D">
        <w:rPr>
          <w:rFonts w:ascii="Arial Narrow" w:hAnsi="Arial Narrow"/>
        </w:rPr>
        <w:t>odredbama Zakona o proračunu (Narodne novine br. 144/21, dalje u tekstu Zakon</w:t>
      </w:r>
      <w:r w:rsidRPr="00585BA4">
        <w:rPr>
          <w:rFonts w:ascii="Arial Narrow" w:hAnsi="Arial Narrow"/>
        </w:rPr>
        <w:t xml:space="preserve"> </w:t>
      </w:r>
      <w:r w:rsidR="00AC127D">
        <w:rPr>
          <w:rFonts w:ascii="Arial Narrow" w:hAnsi="Arial Narrow"/>
        </w:rPr>
        <w:t>)</w:t>
      </w:r>
      <w:r w:rsidRPr="00585BA4">
        <w:rPr>
          <w:rFonts w:ascii="Arial Narrow" w:hAnsi="Arial Narrow"/>
        </w:rPr>
        <w:t>izradilo Upute za izradu proračuna jedinica lokalne i područne (regionalne) samouprave za razdoblje 202</w:t>
      </w:r>
      <w:r w:rsidR="00AC127D">
        <w:rPr>
          <w:rFonts w:ascii="Arial Narrow" w:hAnsi="Arial Narrow"/>
        </w:rPr>
        <w:t>5</w:t>
      </w:r>
      <w:r w:rsidRPr="00585BA4">
        <w:rPr>
          <w:rFonts w:ascii="Arial Narrow" w:hAnsi="Arial Narrow"/>
        </w:rPr>
        <w:t>. - 202</w:t>
      </w:r>
      <w:r w:rsidR="00AC127D">
        <w:rPr>
          <w:rFonts w:ascii="Arial Narrow" w:hAnsi="Arial Narrow"/>
        </w:rPr>
        <w:t>7</w:t>
      </w:r>
      <w:r w:rsidRPr="00585BA4">
        <w:rPr>
          <w:rFonts w:ascii="Arial Narrow" w:hAnsi="Arial Narrow"/>
        </w:rPr>
        <w:t>. (dalje u tekstu: Upute).</w:t>
      </w:r>
    </w:p>
    <w:p w14:paraId="2F1AB3FE" w14:textId="77777777" w:rsidR="00FB74BD" w:rsidRPr="00FB74BD" w:rsidRDefault="00FB74BD" w:rsidP="00FB74BD">
      <w:pPr>
        <w:spacing w:after="0"/>
        <w:rPr>
          <w:rFonts w:ascii="Arial Narrow" w:hAnsi="Arial Narrow"/>
        </w:rPr>
      </w:pPr>
      <w:r w:rsidRPr="00FB74BD">
        <w:rPr>
          <w:rFonts w:ascii="Arial Narrow" w:hAnsi="Arial Narrow"/>
        </w:rPr>
        <w:t>Upute sadrže:</w:t>
      </w:r>
    </w:p>
    <w:p w14:paraId="2E77F0E4" w14:textId="4C2E768A" w:rsidR="00FB74BD" w:rsidRDefault="00FB74BD" w:rsidP="00FB74BD">
      <w:pPr>
        <w:spacing w:after="0"/>
        <w:rPr>
          <w:rFonts w:ascii="Arial Narrow" w:hAnsi="Arial Narrow"/>
        </w:rPr>
      </w:pPr>
      <w:r w:rsidRPr="00FB74BD">
        <w:rPr>
          <w:rFonts w:ascii="Arial Narrow" w:hAnsi="Arial Narrow"/>
        </w:rPr>
        <w:t>- temeljne makroekonomske pokazatelje za razdoblje 202</w:t>
      </w:r>
      <w:r w:rsidR="00AC127D">
        <w:rPr>
          <w:rFonts w:ascii="Arial Narrow" w:hAnsi="Arial Narrow"/>
        </w:rPr>
        <w:t>5</w:t>
      </w:r>
      <w:r w:rsidRPr="00FB74BD">
        <w:rPr>
          <w:rFonts w:ascii="Arial Narrow" w:hAnsi="Arial Narrow"/>
        </w:rPr>
        <w:t>. – 202</w:t>
      </w:r>
      <w:r w:rsidR="00AC127D">
        <w:rPr>
          <w:rFonts w:ascii="Arial Narrow" w:hAnsi="Arial Narrow"/>
        </w:rPr>
        <w:t>7</w:t>
      </w:r>
      <w:r w:rsidRPr="00FB74BD">
        <w:rPr>
          <w:rFonts w:ascii="Arial Narrow" w:hAnsi="Arial Narrow"/>
        </w:rPr>
        <w:t>.,</w:t>
      </w:r>
    </w:p>
    <w:p w14:paraId="19788252" w14:textId="005F1C73" w:rsidR="00AC127D" w:rsidRPr="00FB74BD" w:rsidRDefault="00AC127D" w:rsidP="00FB74BD">
      <w:pPr>
        <w:spacing w:after="0"/>
        <w:rPr>
          <w:rFonts w:ascii="Arial Narrow" w:hAnsi="Arial Narrow"/>
        </w:rPr>
      </w:pPr>
      <w:r>
        <w:rPr>
          <w:rFonts w:ascii="Arial Narrow" w:hAnsi="Arial Narrow"/>
        </w:rPr>
        <w:t>- m</w:t>
      </w:r>
      <w:r w:rsidRPr="00AC127D">
        <w:rPr>
          <w:rFonts w:ascii="Arial Narrow" w:hAnsi="Arial Narrow"/>
        </w:rPr>
        <w:t>etodologija izrade proračuna i financijskih planova proračunskih i izvanproračunskih korisnika</w:t>
      </w:r>
    </w:p>
    <w:p w14:paraId="4A611798" w14:textId="1E6AD47B" w:rsidR="00FB74BD" w:rsidRDefault="00AC127D" w:rsidP="00FB74BD">
      <w:pPr>
        <w:spacing w:after="0"/>
        <w:rPr>
          <w:rFonts w:ascii="Arial Narrow" w:hAnsi="Arial Narrow"/>
        </w:rPr>
      </w:pPr>
      <w:r>
        <w:rPr>
          <w:rFonts w:ascii="Arial Narrow" w:hAnsi="Arial Narrow"/>
        </w:rPr>
        <w:t xml:space="preserve"> </w:t>
      </w:r>
      <w:r w:rsidR="00FB74BD" w:rsidRPr="00FB74BD">
        <w:rPr>
          <w:rFonts w:ascii="Arial Narrow" w:hAnsi="Arial Narrow"/>
        </w:rPr>
        <w:t xml:space="preserve"> </w:t>
      </w:r>
      <w:r w:rsidRPr="00AC127D">
        <w:rPr>
          <w:rFonts w:ascii="Arial Narrow" w:hAnsi="Arial Narrow"/>
        </w:rPr>
        <w:t>Pravilnik o planiranju u sustavu proračuna (Narodne novine, br. 1/2024)</w:t>
      </w:r>
    </w:p>
    <w:p w14:paraId="048D19A2" w14:textId="6347074F" w:rsidR="00AC127D" w:rsidRDefault="00AC127D" w:rsidP="00FB74BD">
      <w:pPr>
        <w:spacing w:after="0"/>
        <w:rPr>
          <w:rFonts w:ascii="Arial Narrow" w:hAnsi="Arial Narrow"/>
        </w:rPr>
      </w:pPr>
      <w:r>
        <w:rPr>
          <w:rFonts w:ascii="Arial Narrow" w:hAnsi="Arial Narrow"/>
        </w:rPr>
        <w:t xml:space="preserve">  </w:t>
      </w:r>
      <w:r w:rsidRPr="00AC127D">
        <w:rPr>
          <w:rFonts w:ascii="Arial Narrow" w:hAnsi="Arial Narrow"/>
        </w:rPr>
        <w:t>Pravilnik o proračunskom računovodstvu i Računskom planu (Narodne novine, br. 158/23)</w:t>
      </w:r>
    </w:p>
    <w:p w14:paraId="3A0364FA" w14:textId="26CAF49A" w:rsidR="00AC127D" w:rsidRPr="00FB74BD" w:rsidRDefault="00AC127D" w:rsidP="00FB74BD">
      <w:pPr>
        <w:spacing w:after="0"/>
        <w:rPr>
          <w:rFonts w:ascii="Arial Narrow" w:hAnsi="Arial Narrow"/>
        </w:rPr>
      </w:pPr>
      <w:r>
        <w:rPr>
          <w:rFonts w:ascii="Arial Narrow" w:hAnsi="Arial Narrow"/>
        </w:rPr>
        <w:t xml:space="preserve">  </w:t>
      </w:r>
      <w:r w:rsidRPr="00AC127D">
        <w:rPr>
          <w:rFonts w:ascii="Arial Narrow" w:hAnsi="Arial Narrow"/>
        </w:rPr>
        <w:t>Pravilnik o korištenju sredstava Europske unije (Narodne novine, br. 44/2024)</w:t>
      </w:r>
    </w:p>
    <w:p w14:paraId="09D307FA" w14:textId="5F9DAE59" w:rsidR="00FB74BD" w:rsidRPr="00FB74BD" w:rsidRDefault="00FB74BD" w:rsidP="00FB74BD">
      <w:pPr>
        <w:spacing w:after="0"/>
        <w:rPr>
          <w:rFonts w:ascii="Arial Narrow" w:hAnsi="Arial Narrow"/>
        </w:rPr>
      </w:pPr>
      <w:r w:rsidRPr="00FB74BD">
        <w:rPr>
          <w:rFonts w:ascii="Arial Narrow" w:hAnsi="Arial Narrow"/>
        </w:rPr>
        <w:t>- sadržaj uputa koje pripremaju upravna tijela za financije</w:t>
      </w:r>
    </w:p>
    <w:p w14:paraId="28804C45" w14:textId="1012ED93" w:rsidR="00FB74BD" w:rsidRPr="00FB74BD" w:rsidRDefault="00FB74BD" w:rsidP="00FB74BD">
      <w:pPr>
        <w:spacing w:after="0"/>
        <w:rPr>
          <w:rFonts w:ascii="Arial Narrow" w:hAnsi="Arial Narrow"/>
        </w:rPr>
      </w:pPr>
      <w:r w:rsidRPr="00FB74BD">
        <w:rPr>
          <w:rFonts w:ascii="Arial Narrow" w:hAnsi="Arial Narrow"/>
        </w:rPr>
        <w:t>- metodologiju izrade proračuna i financijskog plana proračunskih i izvanproračunskih</w:t>
      </w:r>
      <w:r w:rsidR="009E4D8F">
        <w:rPr>
          <w:rFonts w:ascii="Arial Narrow" w:hAnsi="Arial Narrow"/>
        </w:rPr>
        <w:t xml:space="preserve"> </w:t>
      </w:r>
      <w:r w:rsidRPr="00FB74BD">
        <w:rPr>
          <w:rFonts w:ascii="Arial Narrow" w:hAnsi="Arial Narrow"/>
        </w:rPr>
        <w:t>korisnika,</w:t>
      </w:r>
    </w:p>
    <w:p w14:paraId="5CFAB022" w14:textId="77777777" w:rsidR="00FB74BD" w:rsidRPr="00FB74BD" w:rsidRDefault="00FB74BD" w:rsidP="00FB74BD">
      <w:pPr>
        <w:spacing w:after="0"/>
        <w:rPr>
          <w:rFonts w:ascii="Arial Narrow" w:hAnsi="Arial Narrow"/>
        </w:rPr>
      </w:pPr>
      <w:r w:rsidRPr="00FB74BD">
        <w:rPr>
          <w:rFonts w:ascii="Arial Narrow" w:hAnsi="Arial Narrow"/>
        </w:rPr>
        <w:t>- dostavu dokumenata,</w:t>
      </w:r>
    </w:p>
    <w:p w14:paraId="1843E39E" w14:textId="77777777" w:rsidR="00FB74BD" w:rsidRPr="00FB74BD" w:rsidRDefault="00FB74BD" w:rsidP="00FB74BD">
      <w:pPr>
        <w:spacing w:after="0"/>
        <w:rPr>
          <w:rFonts w:ascii="Arial Narrow" w:hAnsi="Arial Narrow"/>
        </w:rPr>
      </w:pPr>
      <w:r w:rsidRPr="00FB74BD">
        <w:rPr>
          <w:rFonts w:ascii="Arial Narrow" w:hAnsi="Arial Narrow"/>
        </w:rPr>
        <w:t>- planiranje rashoda proračunskih korisnika u sklopu decentraliziranih funkcija,</w:t>
      </w:r>
    </w:p>
    <w:p w14:paraId="7F7FE103" w14:textId="77777777" w:rsidR="00FB74BD" w:rsidRPr="00FB74BD" w:rsidRDefault="00FB74BD" w:rsidP="00FB74BD">
      <w:pPr>
        <w:spacing w:after="0"/>
        <w:rPr>
          <w:rFonts w:ascii="Arial Narrow" w:hAnsi="Arial Narrow"/>
        </w:rPr>
      </w:pPr>
      <w:r w:rsidRPr="00FB74BD">
        <w:rPr>
          <w:rFonts w:ascii="Arial Narrow" w:hAnsi="Arial Narrow"/>
        </w:rPr>
        <w:t>- postupanje s viškovima u sklopu decentraliziranih funkcija,</w:t>
      </w:r>
    </w:p>
    <w:p w14:paraId="67E82E44" w14:textId="77777777" w:rsidR="00FB74BD" w:rsidRPr="00FB74BD" w:rsidRDefault="00FB74BD" w:rsidP="00FB74BD">
      <w:pPr>
        <w:spacing w:after="0"/>
        <w:rPr>
          <w:rFonts w:ascii="Arial Narrow" w:hAnsi="Arial Narrow"/>
        </w:rPr>
      </w:pPr>
      <w:r w:rsidRPr="00FB74BD">
        <w:rPr>
          <w:rFonts w:ascii="Arial Narrow" w:hAnsi="Arial Narrow"/>
        </w:rPr>
        <w:t>- novosti vezane uz izmjene poreznih propisa te propisa iz proračunske regulative</w:t>
      </w:r>
    </w:p>
    <w:p w14:paraId="5143E269" w14:textId="77777777" w:rsidR="00FB74BD" w:rsidRPr="00FB74BD" w:rsidRDefault="00FB74BD" w:rsidP="00FB74BD">
      <w:pPr>
        <w:spacing w:after="0"/>
        <w:rPr>
          <w:rFonts w:ascii="Arial Narrow" w:hAnsi="Arial Narrow"/>
        </w:rPr>
      </w:pPr>
      <w:r w:rsidRPr="00FB74BD">
        <w:rPr>
          <w:rFonts w:ascii="Arial Narrow" w:hAnsi="Arial Narrow"/>
        </w:rPr>
        <w:t>- dodjela pomoći na ime poticaja za dobrovoljno funkcionalno odnosno stvarno spajanje</w:t>
      </w:r>
    </w:p>
    <w:p w14:paraId="3451ABB7" w14:textId="77777777" w:rsidR="00FB74BD" w:rsidRPr="00FB74BD" w:rsidRDefault="00FB74BD" w:rsidP="00FB74BD">
      <w:pPr>
        <w:spacing w:after="0"/>
        <w:rPr>
          <w:rFonts w:ascii="Arial Narrow" w:hAnsi="Arial Narrow"/>
        </w:rPr>
      </w:pPr>
      <w:r w:rsidRPr="00FB74BD">
        <w:rPr>
          <w:rFonts w:ascii="Arial Narrow" w:hAnsi="Arial Narrow"/>
        </w:rPr>
        <w:t>jedinica lokalne samouprave,</w:t>
      </w:r>
    </w:p>
    <w:p w14:paraId="3C354F97" w14:textId="77777777" w:rsidR="00FB74BD" w:rsidRPr="00FB74BD" w:rsidRDefault="00FB74BD" w:rsidP="00FB74BD">
      <w:pPr>
        <w:spacing w:after="0"/>
        <w:rPr>
          <w:rFonts w:ascii="Arial Narrow" w:hAnsi="Arial Narrow"/>
        </w:rPr>
      </w:pPr>
      <w:r w:rsidRPr="00FB74BD">
        <w:rPr>
          <w:rFonts w:ascii="Arial Narrow" w:hAnsi="Arial Narrow"/>
        </w:rPr>
        <w:t>- planiranje proračunskih sredstava za vijeća, koordinacije vijeća i predstavnike</w:t>
      </w:r>
    </w:p>
    <w:p w14:paraId="643B31F7" w14:textId="77777777" w:rsidR="00FB74BD" w:rsidRDefault="00FB74BD" w:rsidP="00FB74BD">
      <w:pPr>
        <w:spacing w:after="0"/>
        <w:rPr>
          <w:rFonts w:ascii="Arial Narrow" w:hAnsi="Arial Narrow"/>
        </w:rPr>
      </w:pPr>
      <w:r w:rsidRPr="00FB74BD">
        <w:rPr>
          <w:rFonts w:ascii="Arial Narrow" w:hAnsi="Arial Narrow"/>
        </w:rPr>
        <w:t>nacionalnih manjina.</w:t>
      </w:r>
    </w:p>
    <w:p w14:paraId="21C40B0B" w14:textId="472D70C4" w:rsidR="00FB74BD" w:rsidRPr="00FB74BD" w:rsidRDefault="00FB74BD" w:rsidP="00FB74BD">
      <w:pPr>
        <w:spacing w:after="0"/>
        <w:rPr>
          <w:rFonts w:ascii="Arial Narrow" w:hAnsi="Arial Narrow"/>
        </w:rPr>
      </w:pPr>
      <w:r w:rsidRPr="00FB74BD">
        <w:rPr>
          <w:rFonts w:ascii="Arial Narrow" w:hAnsi="Arial Narrow"/>
        </w:rPr>
        <w:t>Ove Upute dostavljaju se svim županijama, gradovima i op</w:t>
      </w:r>
      <w:r>
        <w:rPr>
          <w:rFonts w:ascii="Arial Narrow" w:hAnsi="Arial Narrow"/>
        </w:rPr>
        <w:t xml:space="preserve">ćinama kako bi, na temelju ovih </w:t>
      </w:r>
      <w:r w:rsidRPr="00FB74BD">
        <w:rPr>
          <w:rFonts w:ascii="Arial Narrow" w:hAnsi="Arial Narrow"/>
        </w:rPr>
        <w:t>Uputa i u skladu s odredbama Zakona o proračunu, upravno tije</w:t>
      </w:r>
      <w:r>
        <w:rPr>
          <w:rFonts w:ascii="Arial Narrow" w:hAnsi="Arial Narrow"/>
        </w:rPr>
        <w:t xml:space="preserve">lo za financije županije, grada </w:t>
      </w:r>
      <w:r w:rsidRPr="00FB74BD">
        <w:rPr>
          <w:rFonts w:ascii="Arial Narrow" w:hAnsi="Arial Narrow"/>
        </w:rPr>
        <w:t>i općine u suradnji s drugim upravnim tijelima izradilo upute za</w:t>
      </w:r>
      <w:r>
        <w:rPr>
          <w:rFonts w:ascii="Arial Narrow" w:hAnsi="Arial Narrow"/>
        </w:rPr>
        <w:t xml:space="preserve"> izradu prijedloga financijskih </w:t>
      </w:r>
      <w:r w:rsidRPr="00FB74BD">
        <w:rPr>
          <w:rFonts w:ascii="Arial Narrow" w:hAnsi="Arial Narrow"/>
        </w:rPr>
        <w:t>planova upravnih tijela te proračunskih i izvanproračunsk</w:t>
      </w:r>
      <w:r>
        <w:rPr>
          <w:rFonts w:ascii="Arial Narrow" w:hAnsi="Arial Narrow"/>
        </w:rPr>
        <w:t xml:space="preserve">ih korisnika jedinice lokalne i </w:t>
      </w:r>
      <w:r w:rsidRPr="00FB74BD">
        <w:rPr>
          <w:rFonts w:ascii="Arial Narrow" w:hAnsi="Arial Narrow"/>
        </w:rPr>
        <w:t>područne (regionalne) samouprave i dostavile ih svojim proračunskim i izvanproračunskim</w:t>
      </w:r>
    </w:p>
    <w:p w14:paraId="7D172F0C" w14:textId="78E85F10" w:rsidR="00FB74BD" w:rsidRPr="00FB74BD" w:rsidRDefault="00FB74BD" w:rsidP="00FB74BD">
      <w:pPr>
        <w:spacing w:after="0"/>
        <w:rPr>
          <w:rFonts w:ascii="Arial Narrow" w:hAnsi="Arial Narrow"/>
        </w:rPr>
      </w:pPr>
      <w:r w:rsidRPr="00FB74BD">
        <w:rPr>
          <w:rFonts w:ascii="Arial Narrow" w:hAnsi="Arial Narrow"/>
        </w:rPr>
        <w:t>korisnicima.</w:t>
      </w:r>
    </w:p>
    <w:p w14:paraId="70CEF2F7" w14:textId="7D0E4927" w:rsidR="00202948" w:rsidRPr="00202948" w:rsidRDefault="00585BA4" w:rsidP="00202948">
      <w:pPr>
        <w:rPr>
          <w:rFonts w:ascii="Arial Narrow" w:hAnsi="Arial Narrow"/>
          <w:lang w:eastAsia="hr-HR"/>
        </w:rPr>
      </w:pPr>
      <w:r w:rsidRPr="00585BA4">
        <w:rPr>
          <w:rFonts w:ascii="Arial Narrow" w:hAnsi="Arial Narrow"/>
          <w:lang w:eastAsia="hr-HR"/>
        </w:rPr>
        <w:t>Zakon o proračunu u članku 29. propisuje obvezu da jedinice lokalne i područne (regionalne) samouprave u Općem dijelu proračuna u Računu prihoda i rashoda, rashode iskažu i prema funkcijskoj klasifikaciji. Ista je obveza propisana i proračunskim korisnicima jedinica lokalne i područne (regionalne) samouprave koji sukladno članku 34. novog Zakona o proračunu u Općem dijelu financijskog plana u Računu prihoda i rashoda, rashode</w:t>
      </w:r>
      <w:r w:rsidR="00CB0B4A">
        <w:rPr>
          <w:rFonts w:ascii="Arial Narrow" w:hAnsi="Arial Narrow"/>
          <w:lang w:eastAsia="hr-HR"/>
        </w:rPr>
        <w:t xml:space="preserve"> </w:t>
      </w:r>
      <w:r w:rsidRPr="00585BA4">
        <w:rPr>
          <w:rFonts w:ascii="Arial Narrow" w:hAnsi="Arial Narrow"/>
          <w:lang w:eastAsia="hr-HR"/>
        </w:rPr>
        <w:t>proračunskog korisnika trebaju iskazati i prema funkcijskoj klasifikaciji. Dio jedinica lokalne i područne (regionalne) samouprave te njihovih proračunskih korisnika i u dosadašnjoj praksi iskazivali su rashode po funkcijskoj klasifikaciji, međutim dio nije postupao na taj način. Novost u ovom proračunskom ciklusu i razlika od prethodnih godina je da jedinice lokalne i područne (regionalne) samouprave i njihovi proračunski korisnici sada imaju zakonsku obvezu iskazati rashode u Općem dijelu proračuna, odnosno financijskog plana u Računu prihoda i rashoda prema funkcijskoj klasifikaciji.</w:t>
      </w:r>
      <w:r w:rsidRPr="00585BA4">
        <w:t xml:space="preserve"> </w:t>
      </w:r>
      <w:r w:rsidRPr="00585BA4">
        <w:rPr>
          <w:rFonts w:ascii="Arial Narrow" w:hAnsi="Arial Narrow"/>
          <w:lang w:eastAsia="hr-HR"/>
        </w:rPr>
        <w:t>Novi Zakon o proračunu u članku 29. i u članku 34. propisuje da Opći dio proračuna, odnosno Opći dio financijskog plana proračunskih i izvanproračunskih korisnika obvezno sadrži i sažetak Računa prihoda i rashoda te sažetak Računa financiranja. U skladu s navedenim, jedinice lokalne i područne (regionalne) samouprave te njihovi proračunski i izvanproračunski korisnici u obvezi su u ovom proračunskom ciklusu pripremiti navedene sažetke.</w:t>
      </w:r>
      <w:r w:rsidR="00202948" w:rsidRPr="00202948">
        <w:t xml:space="preserve"> </w:t>
      </w:r>
      <w:r w:rsidR="00202948" w:rsidRPr="00202948">
        <w:rPr>
          <w:rFonts w:ascii="Arial Narrow" w:hAnsi="Arial Narrow"/>
          <w:lang w:eastAsia="hr-HR"/>
        </w:rPr>
        <w:t>Člankom 37. novog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w:t>
      </w:r>
    </w:p>
    <w:p w14:paraId="4E4BEA43" w14:textId="77777777" w:rsidR="00202948" w:rsidRPr="00202948" w:rsidRDefault="00202948" w:rsidP="00202948">
      <w:pPr>
        <w:rPr>
          <w:rFonts w:ascii="Arial Narrow" w:hAnsi="Arial Narrow"/>
          <w:lang w:eastAsia="hr-HR"/>
        </w:rPr>
      </w:pPr>
      <w:r w:rsidRPr="00202948">
        <w:rPr>
          <w:rFonts w:ascii="Arial Narrow" w:hAnsi="Arial Narrow"/>
          <w:lang w:eastAsia="hr-HR"/>
        </w:rPr>
        <w:t>Isto tako, ako jedinice lokalne i područne (regionalne) samouprave i njihovi proračunski i izvanproračunski korisnici ne mogu preneseni višak, zbog njegove veličine, u cijelosti iskoristiti u jednoj proračunskoj godini, korištenje viška planira se višegodišnjim planom uravnoteženja za razdoblje za koje se proračun, odnosno financijski plan donosi.</w:t>
      </w:r>
    </w:p>
    <w:p w14:paraId="0B83440E" w14:textId="33F3ED6D" w:rsidR="00202948" w:rsidRPr="00202948" w:rsidRDefault="00202948" w:rsidP="00202948">
      <w:pPr>
        <w:rPr>
          <w:rFonts w:ascii="Arial Narrow" w:hAnsi="Arial Narrow"/>
          <w:lang w:eastAsia="hr-HR"/>
        </w:rPr>
      </w:pPr>
      <w:r w:rsidRPr="00202948">
        <w:rPr>
          <w:rFonts w:ascii="Arial Narrow" w:hAnsi="Arial Narrow"/>
          <w:lang w:eastAsia="hr-HR"/>
        </w:rPr>
        <w:t>U prethodnim godinama izrada višegodišnjeg plana uravnoteženja nije bila propisana Zakonom o proračunu, već je Ministarstvo financija u uputama za izradu proračuna jedinica lokalne i područne (regionalne) samouprave davalo instrukcije jedinicama lokalne i područne (regionalne) samouprave i njihovim proračunskim i izvanproračunskim korisnicima za izradu višegodišnjeg plana uravnoteženja te akata koje je potrebno donijeti uz proračun odnosno financijski plan.</w:t>
      </w:r>
      <w:r w:rsidRPr="00202948">
        <w:t xml:space="preserve"> </w:t>
      </w:r>
      <w:r w:rsidRPr="00202948">
        <w:rPr>
          <w:rFonts w:ascii="Arial Narrow" w:hAnsi="Arial Narrow"/>
          <w:lang w:eastAsia="hr-HR"/>
        </w:rPr>
        <w:t>Sadržaj proračuna, sukladno članku 31. novog Zakona o proračunu, dopunjen je na način da obrazloženje postaje sastavni dio proračuna kako na državnoj tako i na razini jedinica lokalne i područne (regionalne) samouprave.</w:t>
      </w:r>
    </w:p>
    <w:p w14:paraId="45D6795E"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lastRenderedPageBreak/>
        <w:t>Obrazloženje općeg dijela proračuna jedinica lokalne i područne (regionalne) samouprave sukladno odredbama novog Zakona o proračunu sadrži:</w:t>
      </w:r>
    </w:p>
    <w:p w14:paraId="4FFAF266"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 obrazloženje prihoda i rashoda, primitaka i izdataka proračuna jedinica lokalne i područne (regionalne) samouprave</w:t>
      </w:r>
    </w:p>
    <w:p w14:paraId="6932186E"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 obrazloženje prenesenog manjka, odnosno viška proračuna jedinica lokalne i područne (regionalne) samouprave</w:t>
      </w:r>
    </w:p>
    <w:p w14:paraId="41E02AF3"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Obrazloženje posebnog dijela proračuna jedinica lokalne i područne (regionalne) samouprave temelji se na obrazloženjima financijskih planova proračunskih korisnika, a sastoji se od obrazloženja programa koje se daje kroz obrazloženje aktivnosti i projekata zajedno s ciljevima i pokazateljima uspješnosti iz akata strateškog planiranja.</w:t>
      </w:r>
    </w:p>
    <w:p w14:paraId="4FDC70D6"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Novi Zakon o proračunu u članku 36. propisuje obvezu i proračunskim i izvanproračunskim korisnicima za izradu obrazloženja i to obrazloženje uz opći dio financijskog plana i obrazloženje uz posebni dio financijskog plana.</w:t>
      </w:r>
    </w:p>
    <w:p w14:paraId="56E1A34C"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Obrazloženje općeg dijela financijskog plana proračunskog i izvanproračunskog korisnika jedinica lokalne i područne (regionalne) samouprave sadrži:</w:t>
      </w:r>
    </w:p>
    <w:p w14:paraId="2942877B"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 obrazloženje prihoda i rashoda, primitaka i izdataka i</w:t>
      </w:r>
    </w:p>
    <w:p w14:paraId="78545099"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 obrazloženje prenesenog manjka odnosno viška financijskog plana, u slučaju da isti postoji.</w:t>
      </w:r>
    </w:p>
    <w:p w14:paraId="16BA228F" w14:textId="6932D7A2" w:rsidR="00585BA4" w:rsidRDefault="00202948" w:rsidP="00202948">
      <w:pPr>
        <w:spacing w:after="0"/>
        <w:rPr>
          <w:rFonts w:ascii="Arial Narrow" w:hAnsi="Arial Narrow"/>
          <w:lang w:eastAsia="hr-HR"/>
        </w:rPr>
      </w:pPr>
      <w:r w:rsidRPr="00202948">
        <w:rPr>
          <w:rFonts w:ascii="Arial Narrow" w:hAnsi="Arial Narrow"/>
          <w:lang w:eastAsia="hr-HR"/>
        </w:rPr>
        <w:t>Obrazloženje posebnog dijela financijskog plana proračunskog i izvanproračunskog korisnika sastoji se od obrazloženja programa koje se daje kroz obrazloženje aktivnosti i projekata zajedno s ciljevima i pokazateljima uspješnosti iz akata strateškog planiranja i godišnjeg plana rada.</w:t>
      </w:r>
    </w:p>
    <w:p w14:paraId="5E8754DD" w14:textId="6D1B6A27" w:rsidR="00202948" w:rsidRDefault="00202948" w:rsidP="00202948">
      <w:pPr>
        <w:spacing w:after="0"/>
        <w:rPr>
          <w:rFonts w:ascii="Arial Narrow" w:hAnsi="Arial Narrow"/>
          <w:lang w:eastAsia="hr-HR"/>
        </w:rPr>
      </w:pPr>
      <w:r w:rsidRPr="00202948">
        <w:rPr>
          <w:rFonts w:ascii="Arial Narrow" w:hAnsi="Arial Narrow"/>
          <w:lang w:eastAsia="hr-HR"/>
        </w:rPr>
        <w:t>Zakon o uvođenju eura kao službene valute u Republici Hrvatskoj (Narodne novine, br. 57/22) u članku 69. propisuje da se proračuni, financijski planovi i drugi prateći dokumenti koji se u godini koja prethodi godini uvođenja eura pripremaju za razdoblja nakon dana uvođenja eura, a čija obveza sastavljanja, donošenja i objavljivanja proizlazi iz odredaba propisa kojim se uređuje sustav proračuna, sastavljaju, donose i objavljuju na način da se vrijednosti u njima iskazuju u euru.</w:t>
      </w:r>
    </w:p>
    <w:p w14:paraId="3AB067B9" w14:textId="77A5112C" w:rsidR="00202948" w:rsidRPr="00202948" w:rsidRDefault="00202948" w:rsidP="00202948">
      <w:pPr>
        <w:spacing w:after="0"/>
        <w:rPr>
          <w:rFonts w:ascii="Arial Narrow" w:hAnsi="Arial Narrow"/>
          <w:lang w:eastAsia="hr-HR"/>
        </w:rPr>
      </w:pPr>
      <w:r w:rsidRPr="00202948">
        <w:rPr>
          <w:rFonts w:ascii="Arial Narrow" w:hAnsi="Arial Narrow"/>
          <w:lang w:eastAsia="hr-HR"/>
        </w:rPr>
        <w:t xml:space="preserve">Metodologija za izradu proračuna jedinica lokalne i područne (regionalne) samouprave propisana je Zakonom o proračunu i podzakonskim aktima kojima se regulira provedba navedenoga Zakona. Do donošenja novih podzakonskih akata i u ovom proračunskom ciklusu koriste se Pravilnik o proračunskim klasifikacijama (Narodne novine, br. </w:t>
      </w:r>
      <w:r w:rsidR="00151C5D">
        <w:rPr>
          <w:rFonts w:ascii="Arial Narrow" w:hAnsi="Arial Narrow"/>
          <w:lang w:eastAsia="hr-HR"/>
        </w:rPr>
        <w:t>4/2024</w:t>
      </w:r>
      <w:r w:rsidRPr="00202948">
        <w:rPr>
          <w:rFonts w:ascii="Arial Narrow" w:hAnsi="Arial Narrow"/>
          <w:lang w:eastAsia="hr-HR"/>
        </w:rPr>
        <w:t xml:space="preserve">) i Pravilnik o proračunskom računovodstvu i Računskom planu (Narodne novine, br. </w:t>
      </w:r>
      <w:r w:rsidR="00151C5D">
        <w:rPr>
          <w:rFonts w:ascii="Arial Narrow" w:hAnsi="Arial Narrow"/>
          <w:lang w:eastAsia="hr-HR"/>
        </w:rPr>
        <w:t>158/2023</w:t>
      </w:r>
      <w:r w:rsidRPr="00202948">
        <w:rPr>
          <w:rFonts w:ascii="Arial Narrow" w:hAnsi="Arial Narrow"/>
          <w:lang w:eastAsia="hr-HR"/>
        </w:rPr>
        <w:t>).</w:t>
      </w:r>
    </w:p>
    <w:p w14:paraId="1C880744" w14:textId="395904E2" w:rsidR="00202948" w:rsidRPr="00202948" w:rsidRDefault="00202948" w:rsidP="00202948">
      <w:pPr>
        <w:spacing w:after="0"/>
        <w:rPr>
          <w:rFonts w:ascii="Arial Narrow" w:hAnsi="Arial Narrow"/>
          <w:lang w:eastAsia="hr-HR"/>
        </w:rPr>
      </w:pPr>
    </w:p>
    <w:p w14:paraId="298B7420" w14:textId="77777777" w:rsidR="00202948" w:rsidRPr="00202948" w:rsidRDefault="00202948" w:rsidP="00202948">
      <w:pPr>
        <w:spacing w:after="0"/>
        <w:rPr>
          <w:rFonts w:ascii="Arial Narrow" w:hAnsi="Arial Narrow"/>
          <w:lang w:eastAsia="hr-HR"/>
        </w:rPr>
      </w:pPr>
      <w:r w:rsidRPr="00202948">
        <w:rPr>
          <w:rFonts w:ascii="Arial Narrow" w:hAnsi="Arial Narrow"/>
          <w:lang w:eastAsia="hr-HR"/>
        </w:rPr>
        <w:t>Proračunski i izvanproračunski korisnici jedinica lokalne i područne (regionalne) samouprave obvezni su izrađivati financijske planove u skladu s odredbama novog Zakona o proračunu te se pridržavati ovih Uputa.</w:t>
      </w:r>
    </w:p>
    <w:p w14:paraId="16A4EB0A" w14:textId="65F2C0D8" w:rsidR="00202948" w:rsidRPr="00585BA4" w:rsidRDefault="00202948" w:rsidP="00202948">
      <w:pPr>
        <w:spacing w:after="0"/>
        <w:rPr>
          <w:rFonts w:ascii="Arial Narrow" w:hAnsi="Arial Narrow"/>
          <w:lang w:eastAsia="hr-HR"/>
        </w:rPr>
      </w:pPr>
      <w:r w:rsidRPr="00202948">
        <w:rPr>
          <w:rFonts w:ascii="Arial Narrow" w:hAnsi="Arial Narrow"/>
          <w:lang w:eastAsia="hr-HR"/>
        </w:rPr>
        <w:t>Proračun jedinice lokalne i područne (regionalne) samouprave sastoji se od plana za proračunsku godinu i projekcija za sljedeće dvije godine, a sadrži financijske planove proračunskih korisnika prikazane kroz opći i posebni dio i obrazloženje proračuna. Pod financijskim planovima proračunskih korisnika jedinice lokalne i područne (regionalne) samouprave podrazumijevaju se i financijski planovi upravnih tijela jedinice lokalne i područne (regionalne) samouprave.</w:t>
      </w:r>
    </w:p>
    <w:p w14:paraId="43A3C94D" w14:textId="77777777" w:rsidR="00F17B02" w:rsidRPr="00492065" w:rsidRDefault="00F17B02" w:rsidP="00F17B02">
      <w:pPr>
        <w:pStyle w:val="CM169"/>
        <w:ind w:firstLine="712"/>
        <w:jc w:val="both"/>
        <w:rPr>
          <w:rFonts w:ascii="Arial Narrow" w:hAnsi="Arial Narrow"/>
          <w:sz w:val="18"/>
          <w:szCs w:val="18"/>
        </w:rPr>
      </w:pPr>
    </w:p>
    <w:p w14:paraId="7D6E6E6E" w14:textId="360AE5F1" w:rsidR="00F17B02" w:rsidRPr="00492065" w:rsidRDefault="00F17B02" w:rsidP="00330ABA">
      <w:pPr>
        <w:pStyle w:val="CM169"/>
        <w:jc w:val="both"/>
        <w:rPr>
          <w:rFonts w:ascii="Arial Narrow" w:hAnsi="Arial Narrow"/>
          <w:sz w:val="22"/>
          <w:szCs w:val="22"/>
        </w:rPr>
      </w:pPr>
      <w:r w:rsidRPr="00492065">
        <w:rPr>
          <w:rFonts w:ascii="Arial Narrow" w:hAnsi="Arial Narrow"/>
          <w:sz w:val="22"/>
          <w:szCs w:val="22"/>
        </w:rPr>
        <w:t xml:space="preserve">Proračunom se omogućava financiranje poslova, funkcija i programa  upravnih tijela u cilju ostvarivanja javnih potreba i prava građana, koji se temeljem posebnih zakona i drugih propisa financiraju iz javnih prihoda, odnosno iz </w:t>
      </w:r>
      <w:r w:rsidR="00492065">
        <w:rPr>
          <w:rFonts w:ascii="Arial Narrow" w:hAnsi="Arial Narrow"/>
          <w:sz w:val="22"/>
          <w:szCs w:val="22"/>
        </w:rPr>
        <w:t xml:space="preserve">općinskog </w:t>
      </w:r>
      <w:r w:rsidRPr="00492065">
        <w:rPr>
          <w:rFonts w:ascii="Arial Narrow" w:hAnsi="Arial Narrow"/>
          <w:sz w:val="22"/>
          <w:szCs w:val="22"/>
        </w:rPr>
        <w:t xml:space="preserve">proračuna . </w:t>
      </w:r>
    </w:p>
    <w:p w14:paraId="108F5B8A" w14:textId="77777777" w:rsidR="00F17B02" w:rsidRPr="00492065" w:rsidRDefault="00F17B02" w:rsidP="00F17B02">
      <w:pPr>
        <w:pStyle w:val="CM169"/>
        <w:ind w:firstLine="712"/>
        <w:jc w:val="both"/>
        <w:rPr>
          <w:rFonts w:ascii="Arial Narrow" w:hAnsi="Arial Narrow"/>
          <w:sz w:val="18"/>
          <w:szCs w:val="18"/>
        </w:rPr>
      </w:pPr>
    </w:p>
    <w:p w14:paraId="66B76E0F" w14:textId="77777777" w:rsidR="00F17B02" w:rsidRPr="00492065" w:rsidRDefault="00F17B02" w:rsidP="00330ABA">
      <w:pPr>
        <w:pStyle w:val="CM169"/>
        <w:jc w:val="both"/>
        <w:rPr>
          <w:rFonts w:ascii="Arial Narrow" w:hAnsi="Arial Narrow"/>
          <w:sz w:val="22"/>
          <w:szCs w:val="22"/>
        </w:rPr>
      </w:pPr>
      <w:r w:rsidRPr="00492065">
        <w:rPr>
          <w:rFonts w:ascii="Arial Narrow" w:hAnsi="Arial Narrow"/>
          <w:sz w:val="22"/>
          <w:szCs w:val="22"/>
        </w:rPr>
        <w:t xml:space="preserve">Pri sastavljanju prijedloga proračuna obvezno je pridržavanje zakonom propisane metodologije koja propisuje sadržaj proračuna, programsko planiranje i proračunske klasifikacije. Zakon o proračunu propisuje trogodišnji proračunski okvir.  Zakon  također utvrđuje donošenje proračuna na manje detaljnoj razini ekonomske klasifikacije, odnosno razini podskupine (treća razina proračunskog plana), te donošenje projekcije na drugoj razini ekonomske klasifikacije. </w:t>
      </w:r>
    </w:p>
    <w:p w14:paraId="260626BE" w14:textId="77777777" w:rsidR="00F17B02" w:rsidRPr="00492065" w:rsidRDefault="00F17B02" w:rsidP="00F17B02">
      <w:pPr>
        <w:pStyle w:val="CM169"/>
        <w:ind w:firstLine="712"/>
        <w:jc w:val="both"/>
        <w:rPr>
          <w:rFonts w:ascii="Arial Narrow" w:hAnsi="Arial Narrow"/>
          <w:sz w:val="18"/>
          <w:szCs w:val="18"/>
        </w:rPr>
      </w:pPr>
    </w:p>
    <w:p w14:paraId="55091313" w14:textId="3E51BB7D" w:rsidR="00F17B02" w:rsidRPr="00492065" w:rsidRDefault="00F17B02" w:rsidP="00330ABA">
      <w:pPr>
        <w:pStyle w:val="CM169"/>
        <w:jc w:val="both"/>
        <w:rPr>
          <w:rFonts w:ascii="Arial Narrow" w:hAnsi="Arial Narrow"/>
          <w:sz w:val="22"/>
          <w:szCs w:val="22"/>
        </w:rPr>
      </w:pPr>
      <w:r w:rsidRPr="00492065">
        <w:rPr>
          <w:rFonts w:ascii="Arial Narrow" w:hAnsi="Arial Narrow"/>
          <w:sz w:val="22"/>
          <w:szCs w:val="22"/>
        </w:rPr>
        <w:t>Metodologija za izradu proračuna jedinice lokalne i područne (regionalne) samouprave propisana je Zakonom o proračunu i pod zakonskim aktima kojima se regulira provedba Zakona, ponajprije Pravilnikom o proračunskim klasifikacijama i Pravilniku o proračunskom računovodstvu i računskom planu, te Zakonu o fiskalnoj odgovornosti, nadalje na procjeni ostvarenj</w:t>
      </w:r>
      <w:r w:rsidR="00C3379B">
        <w:rPr>
          <w:rFonts w:ascii="Arial Narrow" w:hAnsi="Arial Narrow"/>
          <w:sz w:val="22"/>
          <w:szCs w:val="22"/>
        </w:rPr>
        <w:t>a prihoda i rashoda tijekom 202</w:t>
      </w:r>
      <w:r w:rsidR="00FB74BD">
        <w:rPr>
          <w:rFonts w:ascii="Arial Narrow" w:hAnsi="Arial Narrow"/>
          <w:sz w:val="22"/>
          <w:szCs w:val="22"/>
        </w:rPr>
        <w:t>3</w:t>
      </w:r>
      <w:r w:rsidRPr="00492065">
        <w:rPr>
          <w:rFonts w:ascii="Arial Narrow" w:hAnsi="Arial Narrow"/>
          <w:sz w:val="22"/>
          <w:szCs w:val="22"/>
        </w:rPr>
        <w:t>. godine i procjeni prihoda prema podacima o ostvarenju proračuna Općine L</w:t>
      </w:r>
      <w:r w:rsidR="00C3379B">
        <w:rPr>
          <w:rFonts w:ascii="Arial Narrow" w:hAnsi="Arial Narrow"/>
          <w:sz w:val="22"/>
          <w:szCs w:val="22"/>
        </w:rPr>
        <w:t xml:space="preserve">ipovljani u prethodnim godinama te na temelju </w:t>
      </w:r>
      <w:r w:rsidR="00202948">
        <w:rPr>
          <w:rFonts w:ascii="Arial Narrow" w:hAnsi="Arial Narrow"/>
          <w:sz w:val="22"/>
          <w:szCs w:val="22"/>
        </w:rPr>
        <w:t>Provedbenog programa općine Lipovljani</w:t>
      </w:r>
      <w:r w:rsidR="00CB341F">
        <w:rPr>
          <w:rFonts w:ascii="Arial Narrow" w:hAnsi="Arial Narrow"/>
          <w:sz w:val="22"/>
          <w:szCs w:val="22"/>
        </w:rPr>
        <w:t xml:space="preserve"> </w:t>
      </w:r>
      <w:r w:rsidR="00C3379B">
        <w:rPr>
          <w:rFonts w:ascii="Arial Narrow" w:hAnsi="Arial Narrow"/>
          <w:sz w:val="22"/>
          <w:szCs w:val="22"/>
        </w:rPr>
        <w:t xml:space="preserve">, Plana gradnje komunalne infrastrukture i Plana održavanja komunalne infrastrukture </w:t>
      </w:r>
      <w:r w:rsidR="00CB341F">
        <w:rPr>
          <w:rFonts w:ascii="Arial Narrow" w:hAnsi="Arial Narrow"/>
          <w:sz w:val="22"/>
          <w:szCs w:val="22"/>
        </w:rPr>
        <w:t xml:space="preserve">,Planova u kulturi, sportu i obrazovanju.  Financijskim planovima i planovima rada proračunskih korisnika Dječjeg vrtića Iskrica i Narodne knjižnice i čitaonice Lipovljani. </w:t>
      </w:r>
      <w:r w:rsidRPr="00492065">
        <w:rPr>
          <w:rFonts w:ascii="Arial Narrow" w:hAnsi="Arial Narrow"/>
          <w:sz w:val="22"/>
          <w:szCs w:val="22"/>
        </w:rPr>
        <w:t xml:space="preserve">  </w:t>
      </w:r>
    </w:p>
    <w:p w14:paraId="582DA7C0" w14:textId="77777777" w:rsidR="00F17B02" w:rsidRPr="00492065" w:rsidRDefault="00F17B02" w:rsidP="00F17B02">
      <w:pPr>
        <w:pStyle w:val="Default"/>
        <w:jc w:val="both"/>
        <w:rPr>
          <w:rFonts w:ascii="Arial Narrow" w:hAnsi="Arial Narrow" w:cs="Arial"/>
          <w:color w:val="auto"/>
          <w:sz w:val="18"/>
          <w:szCs w:val="18"/>
        </w:rPr>
      </w:pPr>
    </w:p>
    <w:p w14:paraId="6A896782" w14:textId="0C2A93C7" w:rsidR="00F17B02" w:rsidRPr="00492065" w:rsidRDefault="00F17B02" w:rsidP="00330ABA">
      <w:pPr>
        <w:pStyle w:val="CM169"/>
        <w:jc w:val="both"/>
        <w:rPr>
          <w:rFonts w:ascii="Arial Narrow" w:hAnsi="Arial Narrow"/>
          <w:sz w:val="22"/>
          <w:szCs w:val="22"/>
        </w:rPr>
      </w:pPr>
      <w:r w:rsidRPr="00492065">
        <w:rPr>
          <w:rFonts w:ascii="Arial Narrow" w:hAnsi="Arial Narrow"/>
          <w:sz w:val="22"/>
          <w:szCs w:val="22"/>
        </w:rPr>
        <w:t xml:space="preserve">Pravilnik o proračunskim klasifikacijama („Narodne novine“ broj </w:t>
      </w:r>
      <w:r w:rsidR="002F3577">
        <w:rPr>
          <w:rFonts w:ascii="Arial Narrow" w:hAnsi="Arial Narrow"/>
          <w:sz w:val="22"/>
          <w:szCs w:val="22"/>
        </w:rPr>
        <w:t xml:space="preserve"> 4/2024</w:t>
      </w:r>
      <w:r w:rsidRPr="00492065">
        <w:rPr>
          <w:rFonts w:ascii="Arial Narrow" w:hAnsi="Arial Narrow"/>
          <w:sz w:val="22"/>
          <w:szCs w:val="22"/>
        </w:rPr>
        <w:t xml:space="preserve">  ) propisuje vrste, sadržaj i primjenu proračunskih klasifikacija koje su obavezne za proračun, te se primjenjuje  u procesu planiranja za razdoblje 202</w:t>
      </w:r>
      <w:r w:rsidR="0061316F">
        <w:rPr>
          <w:rFonts w:ascii="Arial Narrow" w:hAnsi="Arial Narrow"/>
          <w:sz w:val="22"/>
          <w:szCs w:val="22"/>
        </w:rPr>
        <w:t>5</w:t>
      </w:r>
      <w:r w:rsidR="00C3379B">
        <w:rPr>
          <w:rFonts w:ascii="Arial Narrow" w:hAnsi="Arial Narrow"/>
          <w:sz w:val="22"/>
          <w:szCs w:val="22"/>
        </w:rPr>
        <w:t xml:space="preserve">.i projekcijama za </w:t>
      </w:r>
      <w:r w:rsidRPr="00492065">
        <w:rPr>
          <w:rFonts w:ascii="Arial Narrow" w:hAnsi="Arial Narrow"/>
          <w:sz w:val="22"/>
          <w:szCs w:val="22"/>
        </w:rPr>
        <w:t>202</w:t>
      </w:r>
      <w:r w:rsidR="0061316F">
        <w:rPr>
          <w:rFonts w:ascii="Arial Narrow" w:hAnsi="Arial Narrow"/>
          <w:sz w:val="22"/>
          <w:szCs w:val="22"/>
        </w:rPr>
        <w:t>6</w:t>
      </w:r>
      <w:r w:rsidR="00C3379B">
        <w:rPr>
          <w:rFonts w:ascii="Arial Narrow" w:hAnsi="Arial Narrow"/>
          <w:sz w:val="22"/>
          <w:szCs w:val="22"/>
        </w:rPr>
        <w:t>-202</w:t>
      </w:r>
      <w:r w:rsidR="0061316F">
        <w:rPr>
          <w:rFonts w:ascii="Arial Narrow" w:hAnsi="Arial Narrow"/>
          <w:sz w:val="22"/>
          <w:szCs w:val="22"/>
        </w:rPr>
        <w:t>7</w:t>
      </w:r>
      <w:r w:rsidRPr="00492065">
        <w:rPr>
          <w:rFonts w:ascii="Arial Narrow" w:hAnsi="Arial Narrow"/>
          <w:sz w:val="22"/>
          <w:szCs w:val="22"/>
        </w:rPr>
        <w:t xml:space="preserve">. godine. Pravilnikom se definira okvir kojim se iskazuje i sustavno prate prihodi i primici, te rashodi i izdaci po nositelju, cilju, namjeni, vrsti, lokaciji i izvoru financiranja. Također se propisuje i struktura brojčanih oznaka i naziva svake klasifikacije. </w:t>
      </w:r>
    </w:p>
    <w:p w14:paraId="3454E29C" w14:textId="77777777" w:rsidR="00F17B02" w:rsidRPr="00492065" w:rsidRDefault="00F17B02" w:rsidP="00F17B02">
      <w:pPr>
        <w:pStyle w:val="CM169"/>
        <w:ind w:firstLine="712"/>
        <w:jc w:val="both"/>
        <w:rPr>
          <w:rFonts w:ascii="Arial Narrow" w:hAnsi="Arial Narrow"/>
          <w:sz w:val="18"/>
          <w:szCs w:val="18"/>
        </w:rPr>
      </w:pPr>
    </w:p>
    <w:p w14:paraId="3786423B" w14:textId="20D67C57" w:rsidR="00F17B02" w:rsidRPr="00492065" w:rsidRDefault="00F17B02" w:rsidP="00330ABA">
      <w:pPr>
        <w:pStyle w:val="CM169"/>
        <w:jc w:val="both"/>
        <w:rPr>
          <w:rFonts w:ascii="Arial Narrow" w:hAnsi="Arial Narrow"/>
          <w:sz w:val="22"/>
          <w:szCs w:val="22"/>
        </w:rPr>
      </w:pPr>
      <w:r w:rsidRPr="00492065">
        <w:rPr>
          <w:rFonts w:ascii="Arial Narrow" w:hAnsi="Arial Narrow"/>
          <w:sz w:val="22"/>
          <w:szCs w:val="22"/>
        </w:rPr>
        <w:t xml:space="preserve">Budući da Pravilnik o proračunskim klasifikacijama naglašava uspostavu organizacijske klasifikacije koja sadržava povezane i međusobno usklađene cjeline proračuna i proračunskih korisnika koje odgovarajućim materijalnim sredstvima ostvaruju postavljene </w:t>
      </w:r>
      <w:r w:rsidRPr="00492065">
        <w:rPr>
          <w:rFonts w:ascii="Arial Narrow" w:hAnsi="Arial Narrow"/>
          <w:sz w:val="22"/>
          <w:szCs w:val="22"/>
        </w:rPr>
        <w:lastRenderedPageBreak/>
        <w:t>ciljeve, pri planiranju proračuna za 202</w:t>
      </w:r>
      <w:r w:rsidR="00151C5D">
        <w:rPr>
          <w:rFonts w:ascii="Arial Narrow" w:hAnsi="Arial Narrow"/>
          <w:sz w:val="22"/>
          <w:szCs w:val="22"/>
        </w:rPr>
        <w:t>5</w:t>
      </w:r>
      <w:r w:rsidRPr="00492065">
        <w:rPr>
          <w:rFonts w:ascii="Arial Narrow" w:hAnsi="Arial Narrow"/>
          <w:sz w:val="22"/>
          <w:szCs w:val="22"/>
        </w:rPr>
        <w:t xml:space="preserve">. godinu svi proračunski korisnici našeg proračuna dobili su svoju oznake glave koja određuje pripadnost pojedinom upravnom odjelu koji ima status razdjela. </w:t>
      </w:r>
    </w:p>
    <w:p w14:paraId="34A796D1" w14:textId="77777777" w:rsidR="00F17B02" w:rsidRPr="00492065" w:rsidRDefault="00F17B02" w:rsidP="00F17B02">
      <w:pPr>
        <w:pStyle w:val="CM5"/>
        <w:spacing w:line="240" w:lineRule="auto"/>
        <w:ind w:firstLine="712"/>
        <w:jc w:val="both"/>
        <w:rPr>
          <w:rFonts w:ascii="Arial Narrow" w:hAnsi="Arial Narrow"/>
          <w:sz w:val="18"/>
          <w:szCs w:val="18"/>
        </w:rPr>
      </w:pPr>
    </w:p>
    <w:p w14:paraId="1C51B169" w14:textId="547731B4" w:rsidR="00F17B02" w:rsidRPr="00492065" w:rsidRDefault="00F17B02" w:rsidP="00330ABA">
      <w:pPr>
        <w:pStyle w:val="CM5"/>
        <w:spacing w:line="240" w:lineRule="auto"/>
        <w:jc w:val="both"/>
        <w:rPr>
          <w:rFonts w:ascii="Arial Narrow" w:hAnsi="Arial Narrow"/>
          <w:sz w:val="22"/>
          <w:szCs w:val="22"/>
        </w:rPr>
      </w:pPr>
      <w:r w:rsidRPr="00492065">
        <w:rPr>
          <w:rFonts w:ascii="Arial Narrow" w:hAnsi="Arial Narrow"/>
          <w:sz w:val="22"/>
          <w:szCs w:val="22"/>
        </w:rPr>
        <w:t>Programska klasifikacija uspostavlja se definiranjem pojedinih programa, projekata i ak</w:t>
      </w:r>
      <w:r w:rsidR="00492065">
        <w:rPr>
          <w:rFonts w:ascii="Arial Narrow" w:hAnsi="Arial Narrow"/>
          <w:sz w:val="22"/>
          <w:szCs w:val="22"/>
        </w:rPr>
        <w:t>tivnosti za jedan Jedinstveni upravni odjel i</w:t>
      </w:r>
      <w:r w:rsidRPr="00492065">
        <w:rPr>
          <w:rFonts w:ascii="Arial Narrow" w:hAnsi="Arial Narrow"/>
          <w:sz w:val="22"/>
          <w:szCs w:val="22"/>
        </w:rPr>
        <w:t xml:space="preserve"> njihove proračunske korisnike. Na taj način prikazujemo sve rashode pojedinih projekata i aktivnosti kojima se ostvaruju ciljevi pojedinog programa, tako da se i u proračunu koji se donosi na trećoj razini ekonomske klasifikacije omogućuje uvid u sve aktivnosti i projekte </w:t>
      </w:r>
      <w:r w:rsidR="00597063">
        <w:rPr>
          <w:rFonts w:ascii="Arial Narrow" w:hAnsi="Arial Narrow"/>
          <w:sz w:val="22"/>
          <w:szCs w:val="22"/>
        </w:rPr>
        <w:t xml:space="preserve">po </w:t>
      </w:r>
      <w:r w:rsidR="007C7EEB">
        <w:rPr>
          <w:rFonts w:ascii="Arial Narrow" w:hAnsi="Arial Narrow"/>
          <w:sz w:val="22"/>
          <w:szCs w:val="22"/>
        </w:rPr>
        <w:t>Glavi ; Općinsko vijeće ,Općinski načelnik ,Jedinstven</w:t>
      </w:r>
      <w:r w:rsidR="00597063">
        <w:rPr>
          <w:rFonts w:ascii="Arial Narrow" w:hAnsi="Arial Narrow"/>
          <w:sz w:val="22"/>
          <w:szCs w:val="22"/>
        </w:rPr>
        <w:t>i</w:t>
      </w:r>
      <w:r w:rsidR="007C7EEB">
        <w:rPr>
          <w:rFonts w:ascii="Arial Narrow" w:hAnsi="Arial Narrow"/>
          <w:sz w:val="22"/>
          <w:szCs w:val="22"/>
        </w:rPr>
        <w:t xml:space="preserve"> upravn</w:t>
      </w:r>
      <w:r w:rsidR="00597063">
        <w:rPr>
          <w:rFonts w:ascii="Arial Narrow" w:hAnsi="Arial Narrow"/>
          <w:sz w:val="22"/>
          <w:szCs w:val="22"/>
        </w:rPr>
        <w:t>i</w:t>
      </w:r>
      <w:r w:rsidR="007C7EEB">
        <w:rPr>
          <w:rFonts w:ascii="Arial Narrow" w:hAnsi="Arial Narrow"/>
          <w:sz w:val="22"/>
          <w:szCs w:val="22"/>
        </w:rPr>
        <w:t xml:space="preserve"> odjel</w:t>
      </w:r>
      <w:r w:rsidR="00597063">
        <w:rPr>
          <w:rFonts w:ascii="Arial Narrow" w:hAnsi="Arial Narrow"/>
          <w:sz w:val="22"/>
          <w:szCs w:val="22"/>
        </w:rPr>
        <w:t xml:space="preserve"> te Dječji vrtić Iskrica i Narodna knjižnica i čitaonica Lipovljani.</w:t>
      </w:r>
      <w:r w:rsidR="007C7EEB">
        <w:rPr>
          <w:rFonts w:ascii="Arial Narrow" w:hAnsi="Arial Narrow"/>
          <w:sz w:val="22"/>
          <w:szCs w:val="22"/>
        </w:rPr>
        <w:t xml:space="preserve"> </w:t>
      </w:r>
      <w:r w:rsidRPr="00492065">
        <w:rPr>
          <w:rFonts w:ascii="Arial Narrow" w:hAnsi="Arial Narrow"/>
          <w:sz w:val="22"/>
          <w:szCs w:val="22"/>
        </w:rPr>
        <w:t xml:space="preserve"> </w:t>
      </w:r>
    </w:p>
    <w:p w14:paraId="050FC8B0" w14:textId="2A058467" w:rsidR="00F17B02" w:rsidRPr="00492065" w:rsidRDefault="00F17B02" w:rsidP="00330ABA">
      <w:pPr>
        <w:pStyle w:val="CM182"/>
        <w:jc w:val="both"/>
        <w:rPr>
          <w:rFonts w:ascii="Arial Narrow" w:hAnsi="Arial Narrow"/>
          <w:sz w:val="22"/>
          <w:szCs w:val="22"/>
        </w:rPr>
      </w:pPr>
      <w:r w:rsidRPr="00492065">
        <w:rPr>
          <w:rFonts w:ascii="Arial Narrow" w:hAnsi="Arial Narrow"/>
          <w:sz w:val="22"/>
          <w:szCs w:val="22"/>
        </w:rPr>
        <w:t xml:space="preserve">Vlastiti i namjenski prihodi i primici  proračunskih  korisnika planirani su u Proračunu , kao i rashodi i izdaci koji se financiraju iz tih prihoda. Ta obveza proizlazi iz članaka 16., 17. i 29. Zakona o proračunu. Iz navedenoga proizlazi </w:t>
      </w:r>
      <w:r w:rsidRPr="00492065">
        <w:rPr>
          <w:rFonts w:ascii="Arial Narrow" w:hAnsi="Arial Narrow"/>
          <w:bCs/>
          <w:sz w:val="22"/>
          <w:szCs w:val="22"/>
        </w:rPr>
        <w:t xml:space="preserve">obveza uključivanja svih prihoda i primitaka, rashoda izdataka </w:t>
      </w:r>
      <w:r w:rsidR="00597063">
        <w:rPr>
          <w:rFonts w:ascii="Arial Narrow" w:hAnsi="Arial Narrow"/>
          <w:bCs/>
          <w:sz w:val="22"/>
          <w:szCs w:val="22"/>
        </w:rPr>
        <w:t xml:space="preserve">već spomenutih </w:t>
      </w:r>
      <w:r w:rsidRPr="00492065">
        <w:rPr>
          <w:rFonts w:ascii="Arial Narrow" w:hAnsi="Arial Narrow"/>
          <w:bCs/>
          <w:sz w:val="22"/>
          <w:szCs w:val="22"/>
        </w:rPr>
        <w:t xml:space="preserve">proračunskih korisnika u proračun Općine Lipovljani </w:t>
      </w:r>
      <w:r w:rsidRPr="00492065">
        <w:rPr>
          <w:rFonts w:ascii="Arial Narrow" w:hAnsi="Arial Narrow"/>
          <w:sz w:val="22"/>
          <w:szCs w:val="22"/>
        </w:rPr>
        <w:t xml:space="preserve">, sukladno ekonomskoj, programskoj, funkcijskoj, organizacijskoj, lokacijskoj klasifikaciji te izvorima financiranja. </w:t>
      </w:r>
    </w:p>
    <w:p w14:paraId="4992BC9D" w14:textId="77777777" w:rsidR="00F17B02" w:rsidRPr="00492065" w:rsidRDefault="00F17B02" w:rsidP="00F17B02">
      <w:pPr>
        <w:pStyle w:val="Default"/>
        <w:jc w:val="both"/>
        <w:rPr>
          <w:rFonts w:ascii="Arial Narrow" w:hAnsi="Arial Narrow" w:cs="Arial"/>
          <w:color w:val="auto"/>
          <w:sz w:val="22"/>
          <w:szCs w:val="22"/>
        </w:rPr>
      </w:pPr>
    </w:p>
    <w:p w14:paraId="1D5AA11D" w14:textId="70058746" w:rsidR="00F17B02" w:rsidRPr="00492065" w:rsidRDefault="00F17B02" w:rsidP="00330ABA">
      <w:pPr>
        <w:pStyle w:val="CM182"/>
        <w:jc w:val="both"/>
        <w:rPr>
          <w:rFonts w:ascii="Arial Narrow" w:hAnsi="Arial Narrow"/>
          <w:sz w:val="22"/>
          <w:szCs w:val="22"/>
        </w:rPr>
      </w:pPr>
      <w:r w:rsidRPr="00151C5D">
        <w:rPr>
          <w:rFonts w:ascii="Arial Narrow" w:hAnsi="Arial Narrow"/>
          <w:sz w:val="22"/>
          <w:szCs w:val="22"/>
        </w:rPr>
        <w:t>Prijedlog Proračuna Općine Lipovljani za 202</w:t>
      </w:r>
      <w:r w:rsidR="00151C5D" w:rsidRPr="00151C5D">
        <w:rPr>
          <w:rFonts w:ascii="Arial Narrow" w:hAnsi="Arial Narrow"/>
          <w:sz w:val="22"/>
          <w:szCs w:val="22"/>
        </w:rPr>
        <w:t>5</w:t>
      </w:r>
      <w:r w:rsidRPr="00151C5D">
        <w:rPr>
          <w:rFonts w:ascii="Arial Narrow" w:hAnsi="Arial Narrow"/>
          <w:sz w:val="22"/>
          <w:szCs w:val="22"/>
        </w:rPr>
        <w:t xml:space="preserve">. </w:t>
      </w:r>
      <w:r w:rsidRPr="00492065">
        <w:rPr>
          <w:rFonts w:ascii="Arial Narrow" w:hAnsi="Arial Narrow"/>
          <w:sz w:val="22"/>
          <w:szCs w:val="22"/>
        </w:rPr>
        <w:t xml:space="preserve">godinu temelji se na ranije usvojenoj projekciji, a na određena odstupanja u </w:t>
      </w:r>
      <w:r w:rsidR="00492065">
        <w:rPr>
          <w:rFonts w:ascii="Arial Narrow" w:hAnsi="Arial Narrow"/>
          <w:sz w:val="22"/>
          <w:szCs w:val="22"/>
        </w:rPr>
        <w:t xml:space="preserve">odnosu na projekciju utjecale </w:t>
      </w:r>
      <w:r w:rsidRPr="00492065">
        <w:rPr>
          <w:rFonts w:ascii="Arial Narrow" w:hAnsi="Arial Narrow"/>
          <w:sz w:val="22"/>
          <w:szCs w:val="22"/>
        </w:rPr>
        <w:t xml:space="preserve">su izmjene zakonskih okvira, </w:t>
      </w:r>
      <w:r w:rsidR="005F1DB0">
        <w:rPr>
          <w:rFonts w:ascii="Arial Narrow" w:hAnsi="Arial Narrow"/>
          <w:sz w:val="22"/>
          <w:szCs w:val="22"/>
        </w:rPr>
        <w:t>ponajviše</w:t>
      </w:r>
      <w:r w:rsidRPr="00492065">
        <w:rPr>
          <w:rFonts w:ascii="Arial Narrow" w:hAnsi="Arial Narrow"/>
          <w:sz w:val="22"/>
          <w:szCs w:val="22"/>
        </w:rPr>
        <w:t xml:space="preserve"> dinamika realizacije planiranih aktivnosti i projekata. </w:t>
      </w:r>
    </w:p>
    <w:p w14:paraId="38E3935A" w14:textId="2A2C36A1" w:rsidR="00F17B02" w:rsidRPr="00492065" w:rsidRDefault="00F17B02" w:rsidP="00F17B02">
      <w:pPr>
        <w:pStyle w:val="Default"/>
        <w:jc w:val="both"/>
        <w:rPr>
          <w:rFonts w:ascii="Arial Narrow" w:hAnsi="Arial Narrow" w:cs="Arial"/>
          <w:color w:val="auto"/>
          <w:sz w:val="22"/>
          <w:szCs w:val="22"/>
        </w:rPr>
      </w:pPr>
      <w:r w:rsidRPr="00492065">
        <w:rPr>
          <w:rFonts w:ascii="Arial Narrow" w:hAnsi="Arial Narrow" w:cs="Arial"/>
          <w:color w:val="auto"/>
          <w:sz w:val="22"/>
          <w:szCs w:val="22"/>
        </w:rPr>
        <w:t xml:space="preserve">Prijedlog Proračuna sastavljen je sukladno zakonskim propisima, uvažavajući zakonsko namjensko i svrsishodno korištenje proračunskih sredstava u skladu s nadležnostima uz nastojanje da se u dobroj mjeri uvaže želje i prijeko potrebne potrebe mještana. Svi ti elementi vidljivi su u Proračunu preko predloženih programa, projekata i aktivnosti, a kojima se nastoji osigurati poboljšanje kvalitete življenja, te kvalitetniji i ravnomjerniji razvoj Općine.   </w:t>
      </w:r>
    </w:p>
    <w:p w14:paraId="3FA5C1B5" w14:textId="77777777" w:rsidR="00984817" w:rsidRDefault="00984817" w:rsidP="00984817">
      <w:pPr>
        <w:spacing w:after="0"/>
        <w:jc w:val="both"/>
        <w:rPr>
          <w:rFonts w:ascii="Arial Narrow" w:hAnsi="Arial Narrow"/>
        </w:rPr>
      </w:pPr>
    </w:p>
    <w:p w14:paraId="401AD680" w14:textId="6546D257" w:rsidR="00984817" w:rsidRPr="00984817" w:rsidRDefault="00984817" w:rsidP="00330ABA">
      <w:pPr>
        <w:spacing w:after="0"/>
        <w:jc w:val="both"/>
        <w:rPr>
          <w:rFonts w:ascii="Arial Narrow" w:hAnsi="Arial Narrow"/>
        </w:rPr>
      </w:pPr>
      <w:r w:rsidRPr="00984817">
        <w:rPr>
          <w:rFonts w:ascii="Arial Narrow" w:hAnsi="Arial Narrow"/>
        </w:rPr>
        <w:t>Obveza izrade provedbenih programa jedinicama lokalne i područne (regionalne) samouprave propisana je odredbama Zakona o sustavu strateškog planiranja i upravljanja razvojem Republike Hrvatske (Narodne novine, br. 123/17</w:t>
      </w:r>
      <w:r w:rsidR="00151C5D">
        <w:rPr>
          <w:rFonts w:ascii="Arial Narrow" w:hAnsi="Arial Narrow"/>
        </w:rPr>
        <w:t>,151/22</w:t>
      </w:r>
      <w:r w:rsidRPr="00984817">
        <w:rPr>
          <w:rFonts w:ascii="Arial Narrow" w:hAnsi="Arial Narrow"/>
        </w:rPr>
        <w:t>), a Uredbom o smjernicama za izradu akata strateškog planiranja od nacionalnog značaja i od značaja za jedinice lokalne i područne (regionalne) samouprave (Narodne novine, br. 89/18) propisan je obvezni sadržaj te postupci</w:t>
      </w:r>
      <w:r>
        <w:rPr>
          <w:rFonts w:ascii="Arial Narrow" w:hAnsi="Arial Narrow"/>
        </w:rPr>
        <w:t xml:space="preserve"> </w:t>
      </w:r>
      <w:r w:rsidRPr="00984817">
        <w:rPr>
          <w:rFonts w:ascii="Arial Narrow" w:hAnsi="Arial Narrow"/>
        </w:rPr>
        <w:t>izrade, izvještavanja, praćenja i vrednovanja akata strateškog planiranja od nacionalnog i lokalnog značaja. Provedbeni program je kratkoročni akt strateškog planiranja od značaja za jedinice lokalne i područne (regionalne) samouprave koji izrađuje i donosi izvršno tijelo jedinice lokalne i područne (regionalne) samouprave. Provedbeni program, kao provedbeni akt strateškog planiranja lokalne i regionalne razine, ima za cilj osigurati upravnim tijelima jedinice lokalne i područne (regionalne) samouprave, ali i ostalim dionicima samoupravne jedinice, učinkovit i djelotvoran alat za provedbu posebnih ciljeva i prioriteta djelovanja te ostvarenje postavljene vizije razvoja. Provedbeni program jedinice lokalne i područne (regionalne) samouprave izrađuje i donosi izvršno tijelo najkasnije u roku od 120 dana od dana stupanja na dužnost izvršnog tijela jedinice lokalne i područne (regionalne) samouprave, u pravilu na četiri godine</w:t>
      </w:r>
      <w:r w:rsidR="00330ABA">
        <w:rPr>
          <w:rFonts w:ascii="Arial Narrow" w:hAnsi="Arial Narrow"/>
        </w:rPr>
        <w:t xml:space="preserve"> </w:t>
      </w:r>
      <w:r w:rsidRPr="00984817">
        <w:rPr>
          <w:rFonts w:ascii="Arial Narrow" w:hAnsi="Arial Narrow"/>
        </w:rPr>
        <w:t>jer je vezan je za mandat čelnika.</w:t>
      </w:r>
    </w:p>
    <w:p w14:paraId="3B058148" w14:textId="77777777" w:rsidR="00A93726" w:rsidRPr="00A93726" w:rsidRDefault="00A93726" w:rsidP="00A93726">
      <w:pPr>
        <w:spacing w:after="0"/>
        <w:rPr>
          <w:rFonts w:ascii="Arial Narrow" w:hAnsi="Arial Narrow"/>
        </w:rPr>
      </w:pPr>
      <w:r w:rsidRPr="00A93726">
        <w:rPr>
          <w:rFonts w:ascii="Arial Narrow" w:hAnsi="Arial Narrow"/>
        </w:rPr>
        <w:t>Provedbeni program jedinice lokalne samouprave</w:t>
      </w:r>
    </w:p>
    <w:p w14:paraId="0530B277" w14:textId="75C3F9CA" w:rsidR="00984817" w:rsidRPr="00A93726" w:rsidRDefault="00A93726" w:rsidP="00A93726">
      <w:pPr>
        <w:spacing w:after="0"/>
        <w:rPr>
          <w:rFonts w:ascii="Arial Narrow" w:hAnsi="Arial Narrow"/>
        </w:rPr>
      </w:pPr>
      <w:r w:rsidRPr="00A93726">
        <w:rPr>
          <w:rFonts w:ascii="Arial Narrow" w:hAnsi="Arial Narrow"/>
        </w:rPr>
        <w:t>Provedbenim programom jedinice lokalne samouprave opisuje se i osigurava provedba</w:t>
      </w:r>
      <w:r>
        <w:rPr>
          <w:rFonts w:ascii="Arial Narrow" w:hAnsi="Arial Narrow"/>
        </w:rPr>
        <w:t xml:space="preserve"> </w:t>
      </w:r>
      <w:r w:rsidRPr="00A93726">
        <w:rPr>
          <w:rFonts w:ascii="Arial Narrow" w:hAnsi="Arial Narrow"/>
        </w:rPr>
        <w:t>posebnih ciljeva utvrđenih u planu razvoja jedinice lokalne samouprave (ako je izrađen),odnosno provedba posebnih ciljeva utvrđenih u planu razvoja jedinice lokalne i područne</w:t>
      </w:r>
      <w:r>
        <w:rPr>
          <w:rFonts w:ascii="Arial Narrow" w:hAnsi="Arial Narrow"/>
        </w:rPr>
        <w:t xml:space="preserve"> </w:t>
      </w:r>
      <w:r w:rsidRPr="00A93726">
        <w:rPr>
          <w:rFonts w:ascii="Arial Narrow" w:hAnsi="Arial Narrow"/>
        </w:rPr>
        <w:t>(regionalne) samouprave, kao i poveznica mjera s odgovarajućim stavkama u proračunu</w:t>
      </w:r>
      <w:r>
        <w:rPr>
          <w:rFonts w:ascii="Arial Narrow" w:hAnsi="Arial Narrow"/>
        </w:rPr>
        <w:t xml:space="preserve"> </w:t>
      </w:r>
      <w:r w:rsidRPr="00A93726">
        <w:rPr>
          <w:rFonts w:ascii="Arial Narrow" w:hAnsi="Arial Narrow"/>
        </w:rPr>
        <w:t>jedinice lokalne samouprave (aktivnostima i projektima) na kojima je potrebno planirati</w:t>
      </w:r>
      <w:r>
        <w:rPr>
          <w:rFonts w:ascii="Arial Narrow" w:hAnsi="Arial Narrow"/>
        </w:rPr>
        <w:t xml:space="preserve"> </w:t>
      </w:r>
      <w:r w:rsidRPr="00A93726">
        <w:rPr>
          <w:rFonts w:ascii="Arial Narrow" w:hAnsi="Arial Narrow"/>
        </w:rPr>
        <w:t>sredstva za provedbu.</w:t>
      </w:r>
    </w:p>
    <w:p w14:paraId="0ACA11E0" w14:textId="214817DF" w:rsidR="00BD2361" w:rsidRPr="00A93726" w:rsidRDefault="00F17B02" w:rsidP="00A93726">
      <w:pPr>
        <w:spacing w:after="0"/>
      </w:pPr>
      <w:r w:rsidRPr="00492065">
        <w:t xml:space="preserve"> </w:t>
      </w:r>
      <w:r w:rsidRPr="00492065">
        <w:rPr>
          <w:rFonts w:ascii="Arial Narrow" w:hAnsi="Arial Narrow" w:cs="Arial"/>
        </w:rPr>
        <w:t>Proračun Općine Lipovljani  za 202</w:t>
      </w:r>
      <w:r w:rsidR="00E11465">
        <w:rPr>
          <w:rFonts w:ascii="Arial Narrow" w:hAnsi="Arial Narrow" w:cs="Arial"/>
        </w:rPr>
        <w:t>4</w:t>
      </w:r>
      <w:r w:rsidRPr="00492065">
        <w:rPr>
          <w:rFonts w:ascii="Arial Narrow" w:hAnsi="Arial Narrow" w:cs="Arial"/>
        </w:rPr>
        <w:t xml:space="preserve">. godinu je konsolidiran, što znači da su svi rashodi  i prihodi proračunskih korisnika planirani u Proračunu Općine. Proračunski korisnici Općine Lipovljani su; Dječji vrtić Iskrica i Narodna knjižnica i čitaonica Lipovljani.  Prihodi  i primici, rashodi i izdaci proračunski korisnika izvršavaju se </w:t>
      </w:r>
      <w:r w:rsidR="00FE6F15" w:rsidRPr="00492065">
        <w:rPr>
          <w:rFonts w:ascii="Arial Narrow" w:hAnsi="Arial Narrow" w:cs="Arial"/>
        </w:rPr>
        <w:t>preko njihovih računa jer nije ustrojena Riznica.</w:t>
      </w:r>
    </w:p>
    <w:p w14:paraId="232B1B8A" w14:textId="77777777" w:rsidR="00984817" w:rsidRPr="00984817" w:rsidRDefault="00984817" w:rsidP="00984817">
      <w:pPr>
        <w:pStyle w:val="Default"/>
      </w:pPr>
    </w:p>
    <w:p w14:paraId="4A76F692" w14:textId="77777777" w:rsidR="00151C5D" w:rsidRDefault="00151C5D" w:rsidP="004B00BA">
      <w:pPr>
        <w:spacing w:line="240" w:lineRule="auto"/>
        <w:rPr>
          <w:rFonts w:ascii="Arial Narrow" w:hAnsi="Arial Narrow" w:cs="Arial"/>
          <w:b/>
          <w:bCs/>
        </w:rPr>
      </w:pPr>
    </w:p>
    <w:p w14:paraId="7655BFE9" w14:textId="77777777" w:rsidR="00151C5D" w:rsidRDefault="00151C5D" w:rsidP="004B00BA">
      <w:pPr>
        <w:spacing w:line="240" w:lineRule="auto"/>
        <w:rPr>
          <w:rFonts w:ascii="Arial Narrow" w:hAnsi="Arial Narrow" w:cs="Arial"/>
          <w:b/>
          <w:bCs/>
        </w:rPr>
      </w:pPr>
    </w:p>
    <w:p w14:paraId="519BA483" w14:textId="77777777" w:rsidR="00151C5D" w:rsidRDefault="00151C5D" w:rsidP="004B00BA">
      <w:pPr>
        <w:spacing w:line="240" w:lineRule="auto"/>
        <w:rPr>
          <w:rFonts w:ascii="Arial Narrow" w:hAnsi="Arial Narrow" w:cs="Arial"/>
          <w:b/>
          <w:bCs/>
        </w:rPr>
      </w:pPr>
    </w:p>
    <w:p w14:paraId="1EA1EA13" w14:textId="77777777" w:rsidR="00151C5D" w:rsidRDefault="00151C5D" w:rsidP="004B00BA">
      <w:pPr>
        <w:spacing w:line="240" w:lineRule="auto"/>
        <w:rPr>
          <w:rFonts w:ascii="Arial Narrow" w:hAnsi="Arial Narrow" w:cs="Arial"/>
          <w:b/>
          <w:bCs/>
        </w:rPr>
      </w:pPr>
    </w:p>
    <w:p w14:paraId="703199F2" w14:textId="77777777" w:rsidR="00151C5D" w:rsidRDefault="00151C5D" w:rsidP="004B00BA">
      <w:pPr>
        <w:spacing w:line="240" w:lineRule="auto"/>
        <w:rPr>
          <w:rFonts w:ascii="Arial Narrow" w:hAnsi="Arial Narrow" w:cs="Arial"/>
          <w:b/>
          <w:bCs/>
        </w:rPr>
      </w:pPr>
    </w:p>
    <w:p w14:paraId="2420F1D3" w14:textId="77777777" w:rsidR="00151C5D" w:rsidRDefault="00151C5D" w:rsidP="004B00BA">
      <w:pPr>
        <w:spacing w:line="240" w:lineRule="auto"/>
        <w:rPr>
          <w:rFonts w:ascii="Arial Narrow" w:hAnsi="Arial Narrow" w:cs="Arial"/>
          <w:b/>
          <w:bCs/>
        </w:rPr>
      </w:pPr>
    </w:p>
    <w:p w14:paraId="0D07E7D4" w14:textId="77777777" w:rsidR="00151C5D" w:rsidRDefault="00151C5D" w:rsidP="004B00BA">
      <w:pPr>
        <w:spacing w:line="240" w:lineRule="auto"/>
        <w:rPr>
          <w:rFonts w:ascii="Arial Narrow" w:hAnsi="Arial Narrow" w:cs="Arial"/>
          <w:b/>
          <w:bCs/>
        </w:rPr>
      </w:pPr>
    </w:p>
    <w:p w14:paraId="7D948D6B" w14:textId="77777777" w:rsidR="00151C5D" w:rsidRDefault="00151C5D" w:rsidP="004B00BA">
      <w:pPr>
        <w:spacing w:line="240" w:lineRule="auto"/>
        <w:rPr>
          <w:rFonts w:ascii="Arial Narrow" w:hAnsi="Arial Narrow" w:cs="Arial"/>
          <w:b/>
          <w:bCs/>
        </w:rPr>
      </w:pPr>
    </w:p>
    <w:p w14:paraId="39917F7A" w14:textId="77777777" w:rsidR="00151C5D" w:rsidRDefault="00151C5D" w:rsidP="004B00BA">
      <w:pPr>
        <w:spacing w:line="240" w:lineRule="auto"/>
        <w:rPr>
          <w:rFonts w:ascii="Arial Narrow" w:hAnsi="Arial Narrow" w:cs="Arial"/>
          <w:b/>
          <w:bCs/>
        </w:rPr>
      </w:pPr>
    </w:p>
    <w:p w14:paraId="297F986E" w14:textId="47022D52" w:rsidR="00064E0B" w:rsidRDefault="00661A69" w:rsidP="004B00BA">
      <w:pPr>
        <w:spacing w:line="240" w:lineRule="auto"/>
        <w:rPr>
          <w:rFonts w:ascii="Arial Narrow" w:hAnsi="Arial Narrow" w:cs="Arial"/>
          <w:b/>
          <w:bCs/>
        </w:rPr>
      </w:pPr>
      <w:r w:rsidRPr="002A6EE2">
        <w:rPr>
          <w:rFonts w:ascii="Arial Narrow" w:hAnsi="Arial Narrow" w:cs="Arial"/>
          <w:b/>
          <w:bCs/>
        </w:rPr>
        <w:lastRenderedPageBreak/>
        <w:t>OPĆI DIO</w:t>
      </w:r>
    </w:p>
    <w:p w14:paraId="04E9AAD8" w14:textId="0F66432D" w:rsidR="002F3577" w:rsidRPr="002A6EE2" w:rsidRDefault="002F3577" w:rsidP="004B00BA">
      <w:pPr>
        <w:spacing w:line="240" w:lineRule="auto"/>
        <w:rPr>
          <w:rFonts w:ascii="Arial Narrow" w:hAnsi="Arial Narrow" w:cs="Arial"/>
          <w:b/>
          <w:bCs/>
        </w:rPr>
      </w:pPr>
      <w:r w:rsidRPr="002F3577">
        <w:rPr>
          <w:noProof/>
        </w:rPr>
        <w:drawing>
          <wp:inline distT="0" distB="0" distL="0" distR="0" wp14:anchorId="4988AC5A" wp14:editId="29A5322C">
            <wp:extent cx="6675253" cy="2997642"/>
            <wp:effectExtent l="0" t="0" r="0" b="0"/>
            <wp:docPr id="29681017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649" cy="3010394"/>
                    </a:xfrm>
                    <a:prstGeom prst="rect">
                      <a:avLst/>
                    </a:prstGeom>
                    <a:noFill/>
                    <a:ln>
                      <a:noFill/>
                    </a:ln>
                  </pic:spPr>
                </pic:pic>
              </a:graphicData>
            </a:graphic>
          </wp:inline>
        </w:drawing>
      </w:r>
    </w:p>
    <w:p w14:paraId="210DB48E" w14:textId="77777777" w:rsidR="00463F33" w:rsidRDefault="00463F33" w:rsidP="00552AA9">
      <w:pPr>
        <w:spacing w:after="0" w:line="240" w:lineRule="auto"/>
        <w:rPr>
          <w:rFonts w:ascii="Arial Narrow" w:hAnsi="Arial Narrow" w:cs="Arial"/>
          <w:sz w:val="20"/>
          <w:szCs w:val="20"/>
        </w:rPr>
      </w:pPr>
    </w:p>
    <w:p w14:paraId="6C945BA1" w14:textId="77777777" w:rsidR="003C190E" w:rsidRDefault="003C190E" w:rsidP="00552AA9">
      <w:pPr>
        <w:spacing w:after="0" w:line="240" w:lineRule="auto"/>
        <w:rPr>
          <w:rFonts w:ascii="Arial Narrow" w:hAnsi="Arial Narrow" w:cs="Arial"/>
          <w:sz w:val="20"/>
          <w:szCs w:val="20"/>
        </w:rPr>
      </w:pPr>
    </w:p>
    <w:p w14:paraId="34091F73" w14:textId="0CDC8D2D" w:rsidR="00463F33" w:rsidRDefault="00284E48" w:rsidP="00552AA9">
      <w:pPr>
        <w:spacing w:after="0" w:line="240" w:lineRule="auto"/>
        <w:rPr>
          <w:rFonts w:ascii="Arial Narrow" w:hAnsi="Arial Narrow" w:cs="Arial"/>
          <w:b/>
          <w:bCs/>
          <w:sz w:val="20"/>
          <w:szCs w:val="20"/>
        </w:rPr>
      </w:pPr>
      <w:r w:rsidRPr="00793D2E">
        <w:rPr>
          <w:rFonts w:ascii="Arial Narrow" w:hAnsi="Arial Narrow" w:cs="Arial"/>
          <w:b/>
          <w:bCs/>
          <w:sz w:val="20"/>
          <w:szCs w:val="20"/>
        </w:rPr>
        <w:t>PRIHODI</w:t>
      </w:r>
      <w:r w:rsidR="00C516E7">
        <w:rPr>
          <w:rFonts w:ascii="Arial Narrow" w:hAnsi="Arial Narrow" w:cs="Arial"/>
          <w:b/>
          <w:bCs/>
          <w:sz w:val="20"/>
          <w:szCs w:val="20"/>
        </w:rPr>
        <w:t xml:space="preserve"> I PRIMICI </w:t>
      </w:r>
    </w:p>
    <w:p w14:paraId="0493F2F1" w14:textId="35B3A5EC" w:rsidR="00C516E7" w:rsidRPr="00C516E7" w:rsidRDefault="00C516E7" w:rsidP="00C516E7">
      <w:pPr>
        <w:spacing w:after="0" w:line="240" w:lineRule="auto"/>
        <w:rPr>
          <w:rFonts w:ascii="Arial Narrow" w:hAnsi="Arial Narrow" w:cs="Arial"/>
          <w:bCs/>
          <w:sz w:val="20"/>
          <w:szCs w:val="20"/>
        </w:rPr>
      </w:pPr>
      <w:r w:rsidRPr="00C516E7">
        <w:rPr>
          <w:rFonts w:ascii="Arial Narrow" w:hAnsi="Arial Narrow" w:cs="Arial"/>
          <w:bCs/>
          <w:sz w:val="20"/>
          <w:szCs w:val="20"/>
        </w:rPr>
        <w:t>Prihodi poslovanja planiraju se za 202</w:t>
      </w:r>
      <w:r w:rsidR="00151C5D">
        <w:rPr>
          <w:rFonts w:ascii="Arial Narrow" w:hAnsi="Arial Narrow" w:cs="Arial"/>
          <w:bCs/>
          <w:sz w:val="20"/>
          <w:szCs w:val="20"/>
        </w:rPr>
        <w:t>5</w:t>
      </w:r>
      <w:r w:rsidRPr="00C516E7">
        <w:rPr>
          <w:rFonts w:ascii="Arial Narrow" w:hAnsi="Arial Narrow" w:cs="Arial"/>
          <w:bCs/>
          <w:sz w:val="20"/>
          <w:szCs w:val="20"/>
        </w:rPr>
        <w:t>.g. u iznosu od =</w:t>
      </w:r>
      <w:r w:rsidR="00151C5D" w:rsidRPr="00151C5D">
        <w:t xml:space="preserve"> </w:t>
      </w:r>
      <w:r w:rsidR="00151C5D" w:rsidRPr="00151C5D">
        <w:rPr>
          <w:rFonts w:ascii="Arial Narrow" w:hAnsi="Arial Narrow" w:cs="Arial"/>
          <w:bCs/>
          <w:sz w:val="20"/>
          <w:szCs w:val="20"/>
        </w:rPr>
        <w:t>6.549.103,00</w:t>
      </w:r>
      <w:r w:rsidRPr="00C516E7">
        <w:rPr>
          <w:rFonts w:ascii="Arial Narrow" w:hAnsi="Arial Narrow" w:cs="Arial"/>
          <w:bCs/>
          <w:sz w:val="20"/>
          <w:szCs w:val="20"/>
        </w:rPr>
        <w:t>Eur, primici od financijske imovine i zaduživanja planiraju se u visini od</w:t>
      </w:r>
      <w:r w:rsidR="00757098" w:rsidRPr="00757098">
        <w:t xml:space="preserve"> </w:t>
      </w:r>
      <w:r w:rsidR="00757098" w:rsidRPr="00757098">
        <w:rPr>
          <w:rFonts w:ascii="Arial Narrow" w:hAnsi="Arial Narrow" w:cs="Arial"/>
          <w:bCs/>
          <w:sz w:val="20"/>
          <w:szCs w:val="20"/>
        </w:rPr>
        <w:t>2.508.175,00</w:t>
      </w:r>
      <w:r w:rsidRPr="00C516E7">
        <w:rPr>
          <w:rFonts w:ascii="Arial Narrow" w:hAnsi="Arial Narrow" w:cs="Arial"/>
          <w:bCs/>
          <w:sz w:val="20"/>
          <w:szCs w:val="20"/>
        </w:rPr>
        <w:t xml:space="preserve">  </w:t>
      </w:r>
      <w:proofErr w:type="spellStart"/>
      <w:r w:rsidRPr="00C516E7">
        <w:rPr>
          <w:rFonts w:ascii="Arial Narrow" w:hAnsi="Arial Narrow" w:cs="Arial"/>
          <w:bCs/>
          <w:sz w:val="20"/>
          <w:szCs w:val="20"/>
        </w:rPr>
        <w:t>Eur</w:t>
      </w:r>
      <w:proofErr w:type="spellEnd"/>
      <w:r w:rsidRPr="00C516E7">
        <w:rPr>
          <w:rFonts w:ascii="Arial Narrow" w:hAnsi="Arial Narrow" w:cs="Arial"/>
          <w:bCs/>
          <w:sz w:val="20"/>
          <w:szCs w:val="20"/>
        </w:rPr>
        <w:t xml:space="preserve"> , Višak prihoda iz 202</w:t>
      </w:r>
      <w:r w:rsidR="00757098">
        <w:rPr>
          <w:rFonts w:ascii="Arial Narrow" w:hAnsi="Arial Narrow" w:cs="Arial"/>
          <w:bCs/>
          <w:sz w:val="20"/>
          <w:szCs w:val="20"/>
        </w:rPr>
        <w:t>4</w:t>
      </w:r>
      <w:r w:rsidRPr="00C516E7">
        <w:rPr>
          <w:rFonts w:ascii="Arial Narrow" w:hAnsi="Arial Narrow" w:cs="Arial"/>
          <w:bCs/>
          <w:sz w:val="20"/>
          <w:szCs w:val="20"/>
        </w:rPr>
        <w:t>.g. raspoloživ u 202</w:t>
      </w:r>
      <w:r w:rsidR="00757098">
        <w:rPr>
          <w:rFonts w:ascii="Arial Narrow" w:hAnsi="Arial Narrow" w:cs="Arial"/>
          <w:bCs/>
          <w:sz w:val="20"/>
          <w:szCs w:val="20"/>
        </w:rPr>
        <w:t>5</w:t>
      </w:r>
      <w:r w:rsidRPr="00C516E7">
        <w:rPr>
          <w:rFonts w:ascii="Arial Narrow" w:hAnsi="Arial Narrow" w:cs="Arial"/>
          <w:bCs/>
          <w:sz w:val="20"/>
          <w:szCs w:val="20"/>
        </w:rPr>
        <w:t xml:space="preserve">.g. procjenjuje se u iznosu od </w:t>
      </w:r>
      <w:r w:rsidR="00757098">
        <w:rPr>
          <w:rFonts w:ascii="Arial Narrow" w:hAnsi="Arial Narrow" w:cs="Arial"/>
          <w:bCs/>
          <w:sz w:val="20"/>
          <w:szCs w:val="20"/>
        </w:rPr>
        <w:t>=</w:t>
      </w:r>
      <w:r w:rsidR="00757098" w:rsidRPr="00757098">
        <w:rPr>
          <w:rFonts w:ascii="Arial Narrow" w:hAnsi="Arial Narrow" w:cs="Arial"/>
          <w:bCs/>
          <w:sz w:val="20"/>
          <w:szCs w:val="20"/>
        </w:rPr>
        <w:t>386.142,00</w:t>
      </w:r>
      <w:r w:rsidR="00757098">
        <w:rPr>
          <w:rFonts w:ascii="Arial Narrow" w:hAnsi="Arial Narrow" w:cs="Arial"/>
          <w:bCs/>
          <w:sz w:val="20"/>
          <w:szCs w:val="20"/>
        </w:rPr>
        <w:t xml:space="preserve"> </w:t>
      </w:r>
      <w:proofErr w:type="spellStart"/>
      <w:r w:rsidR="00757098">
        <w:rPr>
          <w:rFonts w:ascii="Arial Narrow" w:hAnsi="Arial Narrow" w:cs="Arial"/>
          <w:bCs/>
          <w:sz w:val="20"/>
          <w:szCs w:val="20"/>
        </w:rPr>
        <w:t>E</w:t>
      </w:r>
      <w:r w:rsidRPr="00C516E7">
        <w:rPr>
          <w:rFonts w:ascii="Arial Narrow" w:hAnsi="Arial Narrow" w:cs="Arial"/>
          <w:bCs/>
          <w:sz w:val="20"/>
          <w:szCs w:val="20"/>
        </w:rPr>
        <w:t>ur</w:t>
      </w:r>
      <w:proofErr w:type="spellEnd"/>
      <w:r w:rsidRPr="00C516E7">
        <w:rPr>
          <w:rFonts w:ascii="Arial Narrow" w:hAnsi="Arial Narrow" w:cs="Arial"/>
          <w:bCs/>
          <w:sz w:val="20"/>
          <w:szCs w:val="20"/>
        </w:rPr>
        <w:t xml:space="preserve"> </w:t>
      </w:r>
      <w:r w:rsidR="00757098">
        <w:rPr>
          <w:rFonts w:ascii="Arial Narrow" w:hAnsi="Arial Narrow" w:cs="Arial"/>
          <w:bCs/>
          <w:sz w:val="20"/>
          <w:szCs w:val="20"/>
        </w:rPr>
        <w:t xml:space="preserve">iz  </w:t>
      </w:r>
      <w:r w:rsidRPr="00C516E7">
        <w:rPr>
          <w:rFonts w:ascii="Arial Narrow" w:hAnsi="Arial Narrow" w:cs="Arial"/>
          <w:bCs/>
          <w:sz w:val="20"/>
          <w:szCs w:val="20"/>
        </w:rPr>
        <w:t xml:space="preserve">, sveukupni prihodi i primici </w:t>
      </w:r>
      <w:r w:rsidRPr="0000722C">
        <w:rPr>
          <w:rFonts w:ascii="Arial Narrow" w:hAnsi="Arial Narrow" w:cs="Arial"/>
          <w:b/>
          <w:sz w:val="20"/>
          <w:szCs w:val="20"/>
        </w:rPr>
        <w:t>iznose =9.4</w:t>
      </w:r>
      <w:r w:rsidR="001F1EB8" w:rsidRPr="0000722C">
        <w:rPr>
          <w:rFonts w:ascii="Arial Narrow" w:hAnsi="Arial Narrow" w:cs="Arial"/>
          <w:b/>
          <w:sz w:val="20"/>
          <w:szCs w:val="20"/>
        </w:rPr>
        <w:t>53.420,00</w:t>
      </w:r>
      <w:r w:rsidRPr="0000722C">
        <w:rPr>
          <w:rFonts w:ascii="Arial Narrow" w:hAnsi="Arial Narrow" w:cs="Arial"/>
          <w:b/>
          <w:sz w:val="20"/>
          <w:szCs w:val="20"/>
        </w:rPr>
        <w:t>Eur</w:t>
      </w:r>
      <w:r w:rsidRPr="00C516E7">
        <w:rPr>
          <w:rFonts w:ascii="Arial Narrow" w:hAnsi="Arial Narrow" w:cs="Arial"/>
          <w:bCs/>
          <w:sz w:val="20"/>
          <w:szCs w:val="20"/>
        </w:rPr>
        <w:t xml:space="preserve"> </w:t>
      </w:r>
    </w:p>
    <w:p w14:paraId="656E3075" w14:textId="0D656FEC" w:rsidR="00E11465" w:rsidRDefault="00C516E7" w:rsidP="00C516E7">
      <w:pPr>
        <w:spacing w:after="0" w:line="240" w:lineRule="auto"/>
        <w:rPr>
          <w:rFonts w:ascii="Arial Narrow" w:hAnsi="Arial Narrow" w:cs="Arial"/>
          <w:bCs/>
          <w:sz w:val="20"/>
          <w:szCs w:val="20"/>
        </w:rPr>
      </w:pPr>
      <w:r w:rsidRPr="00C516E7">
        <w:rPr>
          <w:rFonts w:ascii="Arial Narrow" w:hAnsi="Arial Narrow" w:cs="Arial"/>
          <w:bCs/>
          <w:sz w:val="20"/>
          <w:szCs w:val="20"/>
        </w:rPr>
        <w:t>Višak iz prethodne godine procjenjuje se u iznosu od =</w:t>
      </w:r>
      <w:r w:rsidR="0040112C">
        <w:rPr>
          <w:rFonts w:ascii="Arial Narrow" w:hAnsi="Arial Narrow" w:cs="Arial"/>
          <w:bCs/>
          <w:sz w:val="20"/>
          <w:szCs w:val="20"/>
        </w:rPr>
        <w:t>387.113,00</w:t>
      </w:r>
      <w:r w:rsidRPr="00C516E7">
        <w:rPr>
          <w:rFonts w:ascii="Arial Narrow" w:hAnsi="Arial Narrow" w:cs="Arial"/>
          <w:bCs/>
          <w:sz w:val="20"/>
          <w:szCs w:val="20"/>
        </w:rPr>
        <w:t>Eur na slijedeći način - iz Općinskog proračuna  =</w:t>
      </w:r>
      <w:r w:rsidR="0040112C">
        <w:rPr>
          <w:rFonts w:ascii="Arial Narrow" w:hAnsi="Arial Narrow" w:cs="Arial"/>
          <w:bCs/>
          <w:sz w:val="20"/>
          <w:szCs w:val="20"/>
        </w:rPr>
        <w:t>385.922,00</w:t>
      </w:r>
      <w:r w:rsidRPr="00C516E7">
        <w:rPr>
          <w:rFonts w:ascii="Arial Narrow" w:hAnsi="Arial Narrow" w:cs="Arial"/>
          <w:bCs/>
          <w:sz w:val="20"/>
          <w:szCs w:val="20"/>
        </w:rPr>
        <w:t>Eur sa viškom prihoda Dječjeg vrtića u iznosu od =</w:t>
      </w:r>
      <w:r w:rsidR="0040112C">
        <w:rPr>
          <w:rFonts w:ascii="Arial Narrow" w:hAnsi="Arial Narrow" w:cs="Arial"/>
          <w:bCs/>
          <w:sz w:val="20"/>
          <w:szCs w:val="20"/>
        </w:rPr>
        <w:t>1.191</w:t>
      </w:r>
      <w:r w:rsidRPr="00C516E7">
        <w:rPr>
          <w:rFonts w:ascii="Arial Narrow" w:hAnsi="Arial Narrow" w:cs="Arial"/>
          <w:bCs/>
          <w:sz w:val="20"/>
          <w:szCs w:val="20"/>
        </w:rPr>
        <w:t>,00Eur  umanjeno za manjak prihoda Narodne knjižnice i čitaonice =</w:t>
      </w:r>
      <w:r w:rsidR="0040112C">
        <w:rPr>
          <w:rFonts w:ascii="Arial Narrow" w:hAnsi="Arial Narrow" w:cs="Arial"/>
          <w:bCs/>
          <w:sz w:val="20"/>
          <w:szCs w:val="20"/>
        </w:rPr>
        <w:t>-971,00</w:t>
      </w:r>
      <w:r w:rsidRPr="00C516E7">
        <w:rPr>
          <w:rFonts w:ascii="Arial Narrow" w:hAnsi="Arial Narrow" w:cs="Arial"/>
          <w:bCs/>
          <w:sz w:val="20"/>
          <w:szCs w:val="20"/>
        </w:rPr>
        <w:t>Eur</w:t>
      </w:r>
    </w:p>
    <w:p w14:paraId="6E79FA38" w14:textId="77777777" w:rsidR="00B70433" w:rsidRDefault="00CF3A33" w:rsidP="008517F6">
      <w:pPr>
        <w:rPr>
          <w:rFonts w:ascii="Arial Narrow" w:hAnsi="Arial Narrow" w:cs="Arial"/>
          <w:sz w:val="20"/>
          <w:szCs w:val="20"/>
        </w:rPr>
      </w:pPr>
      <w:r>
        <w:rPr>
          <w:rFonts w:ascii="Arial Narrow" w:hAnsi="Arial Narrow" w:cs="Arial"/>
          <w:sz w:val="20"/>
          <w:szCs w:val="20"/>
        </w:rPr>
        <w:t>Općinski proračun</w:t>
      </w:r>
      <w:r w:rsidR="00CE488F" w:rsidRPr="00ED273C">
        <w:rPr>
          <w:rFonts w:ascii="Arial Narrow" w:hAnsi="Arial Narrow" w:cs="Arial"/>
          <w:sz w:val="20"/>
          <w:szCs w:val="20"/>
        </w:rPr>
        <w:t xml:space="preserve"> bazira </w:t>
      </w:r>
      <w:r>
        <w:rPr>
          <w:rFonts w:ascii="Arial Narrow" w:hAnsi="Arial Narrow" w:cs="Arial"/>
          <w:sz w:val="20"/>
          <w:szCs w:val="20"/>
        </w:rPr>
        <w:t xml:space="preserve">se </w:t>
      </w:r>
      <w:r w:rsidR="00CE488F" w:rsidRPr="00ED273C">
        <w:rPr>
          <w:rFonts w:ascii="Arial Narrow" w:hAnsi="Arial Narrow" w:cs="Arial"/>
          <w:sz w:val="20"/>
          <w:szCs w:val="20"/>
        </w:rPr>
        <w:t xml:space="preserve">na </w:t>
      </w:r>
      <w:r>
        <w:rPr>
          <w:rFonts w:ascii="Arial Narrow" w:hAnsi="Arial Narrow" w:cs="Arial"/>
          <w:sz w:val="20"/>
          <w:szCs w:val="20"/>
        </w:rPr>
        <w:t xml:space="preserve">slijedećim </w:t>
      </w:r>
      <w:r w:rsidR="00CE488F" w:rsidRPr="00ED273C">
        <w:rPr>
          <w:rFonts w:ascii="Arial Narrow" w:hAnsi="Arial Narrow" w:cs="Arial"/>
          <w:sz w:val="20"/>
          <w:szCs w:val="20"/>
        </w:rPr>
        <w:t xml:space="preserve">prihodima ; opći prihodi i primici, pomoći (tekuće i kapitalne),prihodi od imovine vlastiti prihodi proračuna, prihodi po posebnim propisima, prihodi od prodaje nefinancijske </w:t>
      </w:r>
      <w:r w:rsidR="00CE488F" w:rsidRPr="00B963B8">
        <w:rPr>
          <w:rFonts w:ascii="Arial Narrow" w:hAnsi="Arial Narrow" w:cs="Arial"/>
          <w:sz w:val="20"/>
          <w:szCs w:val="20"/>
        </w:rPr>
        <w:t>imovine, ostali prihodi od donacija te vlastitih prihoda Proračunskih korisnika.</w:t>
      </w:r>
      <w:r w:rsidR="008E79CF">
        <w:rPr>
          <w:rFonts w:ascii="Arial Narrow" w:hAnsi="Arial Narrow" w:cs="Arial"/>
          <w:sz w:val="20"/>
          <w:szCs w:val="20"/>
        </w:rPr>
        <w:t xml:space="preserve"> </w:t>
      </w:r>
    </w:p>
    <w:p w14:paraId="00C8B118" w14:textId="7F1A8605" w:rsidR="007B0A80" w:rsidRPr="00A13955" w:rsidRDefault="00BF43B6" w:rsidP="00A13955">
      <w:pPr>
        <w:rPr>
          <w:rFonts w:ascii="Arial Narrow" w:hAnsi="Arial Narrow" w:cs="Arial"/>
          <w:sz w:val="20"/>
          <w:szCs w:val="20"/>
        </w:rPr>
      </w:pPr>
      <w:r>
        <w:rPr>
          <w:rFonts w:ascii="Arial Narrow" w:hAnsi="Arial Narrow" w:cs="Arial"/>
          <w:sz w:val="20"/>
          <w:szCs w:val="20"/>
        </w:rPr>
        <w:t>P</w:t>
      </w:r>
      <w:r w:rsidR="00AD08B3">
        <w:rPr>
          <w:rFonts w:ascii="Arial Narrow" w:hAnsi="Arial Narrow" w:cs="Arial"/>
          <w:sz w:val="20"/>
          <w:szCs w:val="20"/>
        </w:rPr>
        <w:t xml:space="preserve">rihodi od poreza i prireza se </w:t>
      </w:r>
      <w:r w:rsidR="00663CE1">
        <w:rPr>
          <w:rFonts w:ascii="Arial Narrow" w:hAnsi="Arial Narrow" w:cs="Arial"/>
          <w:sz w:val="20"/>
          <w:szCs w:val="20"/>
        </w:rPr>
        <w:t xml:space="preserve"> </w:t>
      </w:r>
      <w:r w:rsidR="00D9174E">
        <w:rPr>
          <w:rFonts w:ascii="Arial Narrow" w:hAnsi="Arial Narrow" w:cs="Arial"/>
          <w:sz w:val="20"/>
          <w:szCs w:val="20"/>
        </w:rPr>
        <w:t xml:space="preserve">planiraju u većem iznosu u </w:t>
      </w:r>
      <w:r w:rsidR="00663CE1">
        <w:rPr>
          <w:rFonts w:ascii="Arial Narrow" w:hAnsi="Arial Narrow" w:cs="Arial"/>
          <w:sz w:val="20"/>
          <w:szCs w:val="20"/>
        </w:rPr>
        <w:t xml:space="preserve"> odnosu na 202</w:t>
      </w:r>
      <w:r w:rsidR="00797EF5">
        <w:rPr>
          <w:rFonts w:ascii="Arial Narrow" w:hAnsi="Arial Narrow" w:cs="Arial"/>
          <w:sz w:val="20"/>
          <w:szCs w:val="20"/>
        </w:rPr>
        <w:t>4</w:t>
      </w:r>
      <w:r w:rsidR="00AD08B3">
        <w:rPr>
          <w:rFonts w:ascii="Arial Narrow" w:hAnsi="Arial Narrow" w:cs="Arial"/>
          <w:sz w:val="20"/>
          <w:szCs w:val="20"/>
        </w:rPr>
        <w:t>.g.</w:t>
      </w:r>
      <w:r w:rsidR="00B70433">
        <w:rPr>
          <w:rFonts w:ascii="Arial Narrow" w:hAnsi="Arial Narrow" w:cs="Arial"/>
          <w:sz w:val="20"/>
          <w:szCs w:val="20"/>
        </w:rPr>
        <w:t xml:space="preserve"> a čine 20,00% ukupnih prihoda, </w:t>
      </w:r>
      <w:r w:rsidR="00663CE1">
        <w:rPr>
          <w:rFonts w:ascii="Arial Narrow" w:hAnsi="Arial Narrow" w:cs="Arial"/>
          <w:sz w:val="20"/>
          <w:szCs w:val="20"/>
        </w:rPr>
        <w:t>povrat poreza po</w:t>
      </w:r>
      <w:r w:rsidR="00D61173">
        <w:rPr>
          <w:rFonts w:ascii="Arial Narrow" w:hAnsi="Arial Narrow" w:cs="Arial"/>
          <w:sz w:val="20"/>
          <w:szCs w:val="20"/>
        </w:rPr>
        <w:t xml:space="preserve"> godišnjim poreznim prijavama</w:t>
      </w:r>
      <w:r w:rsidR="00B70433">
        <w:rPr>
          <w:rFonts w:ascii="Arial Narrow" w:hAnsi="Arial Narrow" w:cs="Arial"/>
          <w:sz w:val="20"/>
          <w:szCs w:val="20"/>
        </w:rPr>
        <w:t xml:space="preserve"> usklađeni su sa iznosom u 2024.g. </w:t>
      </w:r>
      <w:r w:rsidR="00A13955" w:rsidRPr="00A13955">
        <w:rPr>
          <w:rFonts w:ascii="Arial Narrow" w:hAnsi="Arial Narrow" w:cs="Arial"/>
          <w:sz w:val="20"/>
          <w:szCs w:val="20"/>
        </w:rPr>
        <w:t>Naknada za pridobivenu količinu nafte i plina</w:t>
      </w:r>
      <w:r w:rsidR="00A13955">
        <w:rPr>
          <w:rFonts w:ascii="Arial Narrow" w:hAnsi="Arial Narrow" w:cs="Arial"/>
          <w:sz w:val="20"/>
          <w:szCs w:val="20"/>
        </w:rPr>
        <w:t xml:space="preserve">, </w:t>
      </w:r>
      <w:r w:rsidR="00A13955" w:rsidRPr="00A13955">
        <w:rPr>
          <w:rFonts w:ascii="Arial Narrow" w:hAnsi="Arial Narrow" w:cs="Arial"/>
          <w:sz w:val="20"/>
          <w:szCs w:val="20"/>
        </w:rPr>
        <w:t>Prihod od naknada za korištenje javnih površina</w:t>
      </w:r>
      <w:r w:rsidR="00A13955">
        <w:rPr>
          <w:rFonts w:ascii="Arial Narrow" w:hAnsi="Arial Narrow" w:cs="Arial"/>
          <w:sz w:val="20"/>
          <w:szCs w:val="20"/>
        </w:rPr>
        <w:t xml:space="preserve">, </w:t>
      </w:r>
      <w:r w:rsidR="00A13955" w:rsidRPr="00A13955">
        <w:rPr>
          <w:rFonts w:ascii="Arial Narrow" w:hAnsi="Arial Narrow" w:cs="Arial"/>
          <w:sz w:val="20"/>
          <w:szCs w:val="20"/>
        </w:rPr>
        <w:t>Prihod od financijske imovine</w:t>
      </w:r>
      <w:r w:rsidR="00A13955">
        <w:rPr>
          <w:rFonts w:ascii="Arial Narrow" w:hAnsi="Arial Narrow" w:cs="Arial"/>
          <w:sz w:val="20"/>
          <w:szCs w:val="20"/>
        </w:rPr>
        <w:t xml:space="preserve">, </w:t>
      </w:r>
      <w:r w:rsidR="00A13955" w:rsidRPr="00A13955">
        <w:rPr>
          <w:rFonts w:ascii="Arial Narrow" w:hAnsi="Arial Narrow" w:cs="Arial"/>
          <w:sz w:val="20"/>
          <w:szCs w:val="20"/>
        </w:rPr>
        <w:t>Višak prihoda iz prethodnog razdoblja</w:t>
      </w:r>
    </w:p>
    <w:tbl>
      <w:tblPr>
        <w:tblStyle w:val="Svijetlatablicareetke-isticanje1"/>
        <w:tblW w:w="9874" w:type="dxa"/>
        <w:tblLook w:val="04A0" w:firstRow="1" w:lastRow="0" w:firstColumn="1" w:lastColumn="0" w:noHBand="0" w:noVBand="1"/>
      </w:tblPr>
      <w:tblGrid>
        <w:gridCol w:w="1970"/>
        <w:gridCol w:w="5424"/>
        <w:gridCol w:w="2480"/>
      </w:tblGrid>
      <w:tr w:rsidR="0055632D" w:rsidRPr="006A14FF" w14:paraId="73DF87FB" w14:textId="77777777" w:rsidTr="0055632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70" w:type="dxa"/>
            <w:hideMark/>
          </w:tcPr>
          <w:p w14:paraId="05466067" w14:textId="77777777" w:rsidR="0055632D" w:rsidRPr="0055632D" w:rsidRDefault="0055632D" w:rsidP="0055632D">
            <w:pPr>
              <w:spacing w:after="0" w:line="240" w:lineRule="auto"/>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Izvor   1.</w:t>
            </w:r>
          </w:p>
        </w:tc>
        <w:tc>
          <w:tcPr>
            <w:tcW w:w="5424" w:type="dxa"/>
            <w:hideMark/>
          </w:tcPr>
          <w:p w14:paraId="77ED134D" w14:textId="77777777" w:rsidR="0055632D" w:rsidRPr="0055632D" w:rsidRDefault="0055632D" w:rsidP="0055632D">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OPĆI PRIHODI I PRIMICI</w:t>
            </w:r>
          </w:p>
        </w:tc>
        <w:tc>
          <w:tcPr>
            <w:tcW w:w="2480" w:type="dxa"/>
            <w:hideMark/>
          </w:tcPr>
          <w:p w14:paraId="5D0A6C09" w14:textId="77777777" w:rsidR="0055632D" w:rsidRPr="0055632D" w:rsidRDefault="0055632D" w:rsidP="0055632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1.930.494,00</w:t>
            </w:r>
          </w:p>
        </w:tc>
      </w:tr>
      <w:tr w:rsidR="0055632D" w:rsidRPr="006A14FF" w14:paraId="26166AD9" w14:textId="77777777" w:rsidTr="0055632D">
        <w:trPr>
          <w:trHeight w:val="287"/>
        </w:trPr>
        <w:tc>
          <w:tcPr>
            <w:cnfStyle w:val="001000000000" w:firstRow="0" w:lastRow="0" w:firstColumn="1" w:lastColumn="0" w:oddVBand="0" w:evenVBand="0" w:oddHBand="0" w:evenHBand="0" w:firstRowFirstColumn="0" w:firstRowLastColumn="0" w:lastRowFirstColumn="0" w:lastRowLastColumn="0"/>
            <w:tcW w:w="1970" w:type="dxa"/>
            <w:hideMark/>
          </w:tcPr>
          <w:p w14:paraId="6170ABE8" w14:textId="77777777" w:rsidR="0055632D" w:rsidRPr="0055632D" w:rsidRDefault="0055632D" w:rsidP="0055632D">
            <w:pPr>
              <w:spacing w:after="0" w:line="240" w:lineRule="auto"/>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Izvor   1.1.</w:t>
            </w:r>
          </w:p>
        </w:tc>
        <w:tc>
          <w:tcPr>
            <w:tcW w:w="5424" w:type="dxa"/>
            <w:hideMark/>
          </w:tcPr>
          <w:p w14:paraId="3A7FC9B5" w14:textId="3793DFE0"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6A14FF">
              <w:rPr>
                <w:rFonts w:ascii="Arial" w:eastAsia="Times New Roman" w:hAnsi="Arial" w:cs="Arial"/>
                <w:color w:val="000000" w:themeColor="text1"/>
                <w:sz w:val="18"/>
                <w:szCs w:val="18"/>
                <w:lang w:eastAsia="hr-HR"/>
              </w:rPr>
              <w:t>Opći prihodi i primici</w:t>
            </w:r>
          </w:p>
        </w:tc>
        <w:tc>
          <w:tcPr>
            <w:tcW w:w="2480" w:type="dxa"/>
            <w:hideMark/>
          </w:tcPr>
          <w:p w14:paraId="536A0A35"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1.615.857,00</w:t>
            </w:r>
          </w:p>
        </w:tc>
      </w:tr>
      <w:tr w:rsidR="0055632D" w:rsidRPr="006A14FF" w14:paraId="66AECA38" w14:textId="77777777" w:rsidTr="0055632D">
        <w:trPr>
          <w:trHeight w:val="287"/>
        </w:trPr>
        <w:tc>
          <w:tcPr>
            <w:cnfStyle w:val="001000000000" w:firstRow="0" w:lastRow="0" w:firstColumn="1" w:lastColumn="0" w:oddVBand="0" w:evenVBand="0" w:oddHBand="0" w:evenHBand="0" w:firstRowFirstColumn="0" w:firstRowLastColumn="0" w:lastRowFirstColumn="0" w:lastRowLastColumn="0"/>
            <w:tcW w:w="1970" w:type="dxa"/>
            <w:hideMark/>
          </w:tcPr>
          <w:p w14:paraId="450DC745" w14:textId="77777777" w:rsidR="0055632D" w:rsidRPr="0055632D" w:rsidRDefault="0055632D" w:rsidP="0055632D">
            <w:pPr>
              <w:spacing w:after="0" w:line="240" w:lineRule="auto"/>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Izvor   1.1.0</w:t>
            </w:r>
          </w:p>
        </w:tc>
        <w:tc>
          <w:tcPr>
            <w:tcW w:w="5424" w:type="dxa"/>
            <w:hideMark/>
          </w:tcPr>
          <w:p w14:paraId="3CA28400" w14:textId="77777777"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Naknada za pridobivenu količinu nafte i plina</w:t>
            </w:r>
          </w:p>
        </w:tc>
        <w:tc>
          <w:tcPr>
            <w:tcW w:w="2480" w:type="dxa"/>
            <w:hideMark/>
          </w:tcPr>
          <w:p w14:paraId="41AEB6FC"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750.000,00</w:t>
            </w:r>
          </w:p>
        </w:tc>
      </w:tr>
      <w:tr w:rsidR="0055632D" w:rsidRPr="006A14FF" w14:paraId="48A6B2BC" w14:textId="77777777" w:rsidTr="0055632D">
        <w:trPr>
          <w:trHeight w:val="287"/>
        </w:trPr>
        <w:tc>
          <w:tcPr>
            <w:cnfStyle w:val="001000000000" w:firstRow="0" w:lastRow="0" w:firstColumn="1" w:lastColumn="0" w:oddVBand="0" w:evenVBand="0" w:oddHBand="0" w:evenHBand="0" w:firstRowFirstColumn="0" w:firstRowLastColumn="0" w:lastRowFirstColumn="0" w:lastRowLastColumn="0"/>
            <w:tcW w:w="1970" w:type="dxa"/>
            <w:hideMark/>
          </w:tcPr>
          <w:p w14:paraId="5A90BD07" w14:textId="77777777" w:rsidR="0055632D" w:rsidRPr="0055632D" w:rsidRDefault="0055632D" w:rsidP="0055632D">
            <w:pPr>
              <w:spacing w:after="0" w:line="240" w:lineRule="auto"/>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Izvor   1.1.1</w:t>
            </w:r>
          </w:p>
        </w:tc>
        <w:tc>
          <w:tcPr>
            <w:tcW w:w="5424" w:type="dxa"/>
            <w:hideMark/>
          </w:tcPr>
          <w:p w14:paraId="7DB0AAF4" w14:textId="77777777"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Prihod od naknada za korištenje javnih površina</w:t>
            </w:r>
          </w:p>
        </w:tc>
        <w:tc>
          <w:tcPr>
            <w:tcW w:w="2480" w:type="dxa"/>
            <w:hideMark/>
          </w:tcPr>
          <w:p w14:paraId="7D9B44AE"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24.358,00</w:t>
            </w:r>
          </w:p>
        </w:tc>
      </w:tr>
      <w:tr w:rsidR="0055632D" w:rsidRPr="006A14FF" w14:paraId="7ADCE0AB" w14:textId="77777777" w:rsidTr="0055632D">
        <w:trPr>
          <w:trHeight w:val="287"/>
        </w:trPr>
        <w:tc>
          <w:tcPr>
            <w:cnfStyle w:val="001000000000" w:firstRow="0" w:lastRow="0" w:firstColumn="1" w:lastColumn="0" w:oddVBand="0" w:evenVBand="0" w:oddHBand="0" w:evenHBand="0" w:firstRowFirstColumn="0" w:firstRowLastColumn="0" w:lastRowFirstColumn="0" w:lastRowLastColumn="0"/>
            <w:tcW w:w="1970" w:type="dxa"/>
            <w:hideMark/>
          </w:tcPr>
          <w:p w14:paraId="3E23A2F3" w14:textId="77777777" w:rsidR="0055632D" w:rsidRPr="0055632D" w:rsidRDefault="0055632D" w:rsidP="0055632D">
            <w:pPr>
              <w:spacing w:after="0" w:line="240" w:lineRule="auto"/>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Izvor   1.1.2</w:t>
            </w:r>
          </w:p>
        </w:tc>
        <w:tc>
          <w:tcPr>
            <w:tcW w:w="5424" w:type="dxa"/>
            <w:hideMark/>
          </w:tcPr>
          <w:p w14:paraId="782F1725" w14:textId="77777777"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Prihod od financijske imovine</w:t>
            </w:r>
          </w:p>
        </w:tc>
        <w:tc>
          <w:tcPr>
            <w:tcW w:w="2480" w:type="dxa"/>
            <w:hideMark/>
          </w:tcPr>
          <w:p w14:paraId="4197E299"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497,00</w:t>
            </w:r>
          </w:p>
        </w:tc>
      </w:tr>
      <w:tr w:rsidR="0055632D" w:rsidRPr="006A14FF" w14:paraId="0E92622F" w14:textId="77777777" w:rsidTr="0055632D">
        <w:trPr>
          <w:trHeight w:val="287"/>
        </w:trPr>
        <w:tc>
          <w:tcPr>
            <w:cnfStyle w:val="001000000000" w:firstRow="0" w:lastRow="0" w:firstColumn="1" w:lastColumn="0" w:oddVBand="0" w:evenVBand="0" w:oddHBand="0" w:evenHBand="0" w:firstRowFirstColumn="0" w:firstRowLastColumn="0" w:lastRowFirstColumn="0" w:lastRowLastColumn="0"/>
            <w:tcW w:w="1970" w:type="dxa"/>
            <w:hideMark/>
          </w:tcPr>
          <w:p w14:paraId="06A3FF34" w14:textId="77777777" w:rsidR="0055632D" w:rsidRPr="0055632D" w:rsidRDefault="0055632D" w:rsidP="0055632D">
            <w:pPr>
              <w:spacing w:after="0" w:line="240" w:lineRule="auto"/>
              <w:rPr>
                <w:rFonts w:ascii="Arial" w:eastAsia="Times New Roman" w:hAnsi="Arial" w:cs="Arial"/>
                <w:b w:val="0"/>
                <w:bCs w:val="0"/>
                <w:color w:val="000000" w:themeColor="text1"/>
                <w:sz w:val="18"/>
                <w:szCs w:val="18"/>
                <w:lang w:eastAsia="hr-HR"/>
              </w:rPr>
            </w:pPr>
            <w:r w:rsidRPr="0055632D">
              <w:rPr>
                <w:rFonts w:ascii="Arial" w:eastAsia="Times New Roman" w:hAnsi="Arial" w:cs="Arial"/>
                <w:b w:val="0"/>
                <w:bCs w:val="0"/>
                <w:color w:val="000000" w:themeColor="text1"/>
                <w:sz w:val="18"/>
                <w:szCs w:val="18"/>
                <w:lang w:eastAsia="hr-HR"/>
              </w:rPr>
              <w:t>Izvor   1.9.</w:t>
            </w:r>
          </w:p>
        </w:tc>
        <w:tc>
          <w:tcPr>
            <w:tcW w:w="5424" w:type="dxa"/>
            <w:hideMark/>
          </w:tcPr>
          <w:p w14:paraId="5C8223C3" w14:textId="77777777"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Višak prihoda iz prethodnog razdoblja</w:t>
            </w:r>
          </w:p>
        </w:tc>
        <w:tc>
          <w:tcPr>
            <w:tcW w:w="2480" w:type="dxa"/>
            <w:hideMark/>
          </w:tcPr>
          <w:p w14:paraId="07A2E0B0"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hr-HR"/>
              </w:rPr>
            </w:pPr>
            <w:r w:rsidRPr="0055632D">
              <w:rPr>
                <w:rFonts w:ascii="Arial" w:eastAsia="Times New Roman" w:hAnsi="Arial" w:cs="Arial"/>
                <w:color w:val="000000" w:themeColor="text1"/>
                <w:sz w:val="18"/>
                <w:szCs w:val="18"/>
                <w:lang w:eastAsia="hr-HR"/>
              </w:rPr>
              <w:t>314.637,00</w:t>
            </w:r>
          </w:p>
        </w:tc>
      </w:tr>
    </w:tbl>
    <w:p w14:paraId="3A0A7450" w14:textId="77777777" w:rsidR="0055632D" w:rsidRDefault="0055632D" w:rsidP="00BA5FBE">
      <w:pPr>
        <w:rPr>
          <w:sz w:val="20"/>
          <w:szCs w:val="20"/>
        </w:rPr>
      </w:pPr>
    </w:p>
    <w:p w14:paraId="3086206C" w14:textId="612A97B2" w:rsidR="0055632D" w:rsidRPr="00D0414C" w:rsidRDefault="0055632D" w:rsidP="00BA5FBE">
      <w:pPr>
        <w:rPr>
          <w:rFonts w:ascii="Arial Narrow" w:hAnsi="Arial Narrow"/>
          <w:sz w:val="20"/>
          <w:szCs w:val="20"/>
        </w:rPr>
      </w:pPr>
      <w:r w:rsidRPr="00D0414C">
        <w:rPr>
          <w:rFonts w:ascii="Arial Narrow" w:hAnsi="Arial Narrow"/>
          <w:sz w:val="20"/>
          <w:szCs w:val="20"/>
        </w:rPr>
        <w:t xml:space="preserve">Vlastiti prihodi proračuna, prihodi su od:  Iznajmljivanje prostora i opreme (društveni domovi) Iznajmljivanje poslovnog prostora( </w:t>
      </w:r>
      <w:proofErr w:type="spellStart"/>
      <w:r w:rsidRPr="00D0414C">
        <w:rPr>
          <w:rFonts w:ascii="Arial Narrow" w:hAnsi="Arial Narrow"/>
          <w:sz w:val="20"/>
          <w:szCs w:val="20"/>
        </w:rPr>
        <w:t>Piljenice</w:t>
      </w:r>
      <w:proofErr w:type="spellEnd"/>
      <w:r w:rsidRPr="00D0414C">
        <w:rPr>
          <w:rFonts w:ascii="Arial Narrow" w:hAnsi="Arial Narrow"/>
          <w:sz w:val="20"/>
          <w:szCs w:val="20"/>
        </w:rPr>
        <w:t xml:space="preserve"> trgovina od Studenca) , Usluga naplata naknade za uređenje voda za Hrvatske vode , 10% od ukupnih prihoda , refundacija materijalnih rashoda vezanih za obavljanje usluga naplate prihoda za Hrvatske vode.</w:t>
      </w:r>
    </w:p>
    <w:tbl>
      <w:tblPr>
        <w:tblStyle w:val="Svijetlatablicareetke-isticanje1"/>
        <w:tblW w:w="9998" w:type="dxa"/>
        <w:tblLook w:val="04A0" w:firstRow="1" w:lastRow="0" w:firstColumn="1" w:lastColumn="0" w:noHBand="0" w:noVBand="1"/>
      </w:tblPr>
      <w:tblGrid>
        <w:gridCol w:w="1995"/>
        <w:gridCol w:w="5492"/>
        <w:gridCol w:w="2511"/>
      </w:tblGrid>
      <w:tr w:rsidR="0055632D" w:rsidRPr="0055632D" w14:paraId="2F6ACEBC" w14:textId="77777777" w:rsidTr="0055632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995" w:type="dxa"/>
            <w:hideMark/>
          </w:tcPr>
          <w:p w14:paraId="33D05C11"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3.</w:t>
            </w:r>
          </w:p>
        </w:tc>
        <w:tc>
          <w:tcPr>
            <w:tcW w:w="5492" w:type="dxa"/>
            <w:hideMark/>
          </w:tcPr>
          <w:p w14:paraId="5B68D443" w14:textId="77777777" w:rsidR="0055632D" w:rsidRPr="0055632D" w:rsidRDefault="0055632D" w:rsidP="0055632D">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VLASTITI PRIHODI</w:t>
            </w:r>
          </w:p>
        </w:tc>
        <w:tc>
          <w:tcPr>
            <w:tcW w:w="2511" w:type="dxa"/>
            <w:hideMark/>
          </w:tcPr>
          <w:p w14:paraId="5FA3F13E" w14:textId="77777777" w:rsidR="0055632D" w:rsidRPr="0055632D" w:rsidRDefault="0055632D" w:rsidP="0055632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24.004,00</w:t>
            </w:r>
          </w:p>
        </w:tc>
      </w:tr>
      <w:tr w:rsidR="0055632D" w:rsidRPr="0055632D" w14:paraId="7C354F44" w14:textId="77777777" w:rsidTr="0055632D">
        <w:trPr>
          <w:trHeight w:val="321"/>
        </w:trPr>
        <w:tc>
          <w:tcPr>
            <w:cnfStyle w:val="001000000000" w:firstRow="0" w:lastRow="0" w:firstColumn="1" w:lastColumn="0" w:oddVBand="0" w:evenVBand="0" w:oddHBand="0" w:evenHBand="0" w:firstRowFirstColumn="0" w:firstRowLastColumn="0" w:lastRowFirstColumn="0" w:lastRowLastColumn="0"/>
            <w:tcW w:w="1995" w:type="dxa"/>
            <w:hideMark/>
          </w:tcPr>
          <w:p w14:paraId="2F89DBC3"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3.1.</w:t>
            </w:r>
          </w:p>
        </w:tc>
        <w:tc>
          <w:tcPr>
            <w:tcW w:w="5492" w:type="dxa"/>
            <w:hideMark/>
          </w:tcPr>
          <w:p w14:paraId="56C09D08" w14:textId="3122529E"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Vlastiti prihodi</w:t>
            </w:r>
          </w:p>
        </w:tc>
        <w:tc>
          <w:tcPr>
            <w:tcW w:w="2511" w:type="dxa"/>
            <w:hideMark/>
          </w:tcPr>
          <w:p w14:paraId="365529E7"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17.474,00</w:t>
            </w:r>
          </w:p>
        </w:tc>
      </w:tr>
      <w:tr w:rsidR="0055632D" w:rsidRPr="0055632D" w14:paraId="5CEC7C71" w14:textId="77777777" w:rsidTr="0055632D">
        <w:trPr>
          <w:trHeight w:val="321"/>
        </w:trPr>
        <w:tc>
          <w:tcPr>
            <w:cnfStyle w:val="001000000000" w:firstRow="0" w:lastRow="0" w:firstColumn="1" w:lastColumn="0" w:oddVBand="0" w:evenVBand="0" w:oddHBand="0" w:evenHBand="0" w:firstRowFirstColumn="0" w:firstRowLastColumn="0" w:lastRowFirstColumn="0" w:lastRowLastColumn="0"/>
            <w:tcW w:w="1995" w:type="dxa"/>
            <w:hideMark/>
          </w:tcPr>
          <w:p w14:paraId="242EE76E"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3.8.</w:t>
            </w:r>
          </w:p>
        </w:tc>
        <w:tc>
          <w:tcPr>
            <w:tcW w:w="5492" w:type="dxa"/>
            <w:hideMark/>
          </w:tcPr>
          <w:p w14:paraId="36712707" w14:textId="78AB47D1"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Vlastiti prihodi proračunskih korisnika</w:t>
            </w:r>
          </w:p>
        </w:tc>
        <w:tc>
          <w:tcPr>
            <w:tcW w:w="2511" w:type="dxa"/>
            <w:hideMark/>
          </w:tcPr>
          <w:p w14:paraId="2DF2F6A2"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6.530,00</w:t>
            </w:r>
          </w:p>
        </w:tc>
      </w:tr>
    </w:tbl>
    <w:p w14:paraId="698C9A86" w14:textId="77777777" w:rsidR="006C5AC3" w:rsidRDefault="006C5AC3" w:rsidP="00BA5FBE">
      <w:pPr>
        <w:rPr>
          <w:sz w:val="20"/>
          <w:szCs w:val="20"/>
        </w:rPr>
      </w:pPr>
    </w:p>
    <w:p w14:paraId="5DED1C61" w14:textId="344C2DFA" w:rsidR="0055632D" w:rsidRDefault="00A13955" w:rsidP="00BA5FBE">
      <w:pPr>
        <w:rPr>
          <w:sz w:val="20"/>
          <w:szCs w:val="20"/>
        </w:rPr>
      </w:pPr>
      <w:r w:rsidRPr="00A13955">
        <w:rPr>
          <w:sz w:val="20"/>
          <w:szCs w:val="20"/>
        </w:rPr>
        <w:t>Prihodi za posebne namjene čine 8,00% ukupnog proračuna , to su ; Prihod od zakupa imovine ,Naknade za ostale koncesije(plin)  Prihodi od spomeničke rente, Prihodi od zakupa poljoprivrednog zemljišta , Naknada za zadržavanje nezakonito izgrađenih građevina</w:t>
      </w:r>
      <w:r>
        <w:rPr>
          <w:sz w:val="20"/>
          <w:szCs w:val="20"/>
        </w:rPr>
        <w:t>.</w:t>
      </w:r>
      <w:r w:rsidRPr="00A13955">
        <w:t xml:space="preserve"> </w:t>
      </w:r>
      <w:r w:rsidRPr="00A13955">
        <w:rPr>
          <w:sz w:val="20"/>
          <w:szCs w:val="20"/>
        </w:rPr>
        <w:t xml:space="preserve">Ostale naknade utvrđene gradskom/općinskom odlukom, Naknade za uporabu javnih općinskih površina Prihod od </w:t>
      </w:r>
      <w:r w:rsidRPr="00A13955">
        <w:rPr>
          <w:sz w:val="20"/>
          <w:szCs w:val="20"/>
        </w:rPr>
        <w:lastRenderedPageBreak/>
        <w:t xml:space="preserve">prodaje državnih biljega ,Komunalni doprinosi, Komunalne naknade, Doprinosi za šume/prihod od šumskog doprinosa  (NN 98/19, Članak 69)  je povećan na 10%  (prodajna cijena proizvoda na panju) za potpomognuta područja sa dosadašnjih 5% što je rezultiralo većim priljevom. Prihod se koristi isključivo za gradnju i održavanje komunalne infrastrukture te je Općina dužna donijeti Program utroška sredstava šumskog doprinosa nadalje vodni doprinos i  Zatezne kamate iz obveznih odnosa   Ostali prihodi- Donacije od pravnih i fizičkih osoba za manifestacije  Vlastiti i ostali prihodi proračunskih korisnika- Prihodi od pruženih usluga ,boravak djece u Dječjem vrtiću Iskrica , članarine i </w:t>
      </w:r>
      <w:proofErr w:type="spellStart"/>
      <w:r w:rsidRPr="00A13955">
        <w:rPr>
          <w:sz w:val="20"/>
          <w:szCs w:val="20"/>
        </w:rPr>
        <w:t>zakasnine</w:t>
      </w:r>
      <w:proofErr w:type="spellEnd"/>
      <w:r w:rsidRPr="00A13955">
        <w:rPr>
          <w:sz w:val="20"/>
          <w:szCs w:val="20"/>
        </w:rPr>
        <w:t xml:space="preserve"> koje se ubiru u Narodnoj knjižnici i čitaonici Lipovljani</w:t>
      </w:r>
    </w:p>
    <w:p w14:paraId="33D9E1C4" w14:textId="77777777" w:rsidR="0055632D" w:rsidRDefault="0055632D" w:rsidP="00BA5FBE">
      <w:pPr>
        <w:rPr>
          <w:sz w:val="20"/>
          <w:szCs w:val="20"/>
        </w:rPr>
      </w:pPr>
    </w:p>
    <w:tbl>
      <w:tblPr>
        <w:tblStyle w:val="Svijetlatablicareetke-isticanje1"/>
        <w:tblW w:w="9719" w:type="dxa"/>
        <w:tblLook w:val="04A0" w:firstRow="1" w:lastRow="0" w:firstColumn="1" w:lastColumn="0" w:noHBand="0" w:noVBand="1"/>
      </w:tblPr>
      <w:tblGrid>
        <w:gridCol w:w="1939"/>
        <w:gridCol w:w="5339"/>
        <w:gridCol w:w="2441"/>
      </w:tblGrid>
      <w:tr w:rsidR="0055632D" w:rsidRPr="0055632D" w14:paraId="2AB9C9EA" w14:textId="77777777" w:rsidTr="00A139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06F21BDC"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w:t>
            </w:r>
          </w:p>
        </w:tc>
        <w:tc>
          <w:tcPr>
            <w:tcW w:w="5339" w:type="dxa"/>
            <w:hideMark/>
          </w:tcPr>
          <w:p w14:paraId="11237861" w14:textId="77777777" w:rsidR="0055632D" w:rsidRPr="0055632D" w:rsidRDefault="0055632D" w:rsidP="0055632D">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PRIHODI ZA POSEBNE NAMJENE</w:t>
            </w:r>
          </w:p>
        </w:tc>
        <w:tc>
          <w:tcPr>
            <w:tcW w:w="2441" w:type="dxa"/>
            <w:hideMark/>
          </w:tcPr>
          <w:p w14:paraId="18CDD039" w14:textId="77777777" w:rsidR="0055632D" w:rsidRPr="0055632D" w:rsidRDefault="0055632D" w:rsidP="0055632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749.883,00</w:t>
            </w:r>
          </w:p>
        </w:tc>
      </w:tr>
      <w:tr w:rsidR="0055632D" w:rsidRPr="0055632D" w14:paraId="0F8A980A"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3483DA1E"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4.1.</w:t>
            </w:r>
          </w:p>
        </w:tc>
        <w:tc>
          <w:tcPr>
            <w:tcW w:w="5339" w:type="dxa"/>
            <w:hideMark/>
          </w:tcPr>
          <w:p w14:paraId="41538F02" w14:textId="39769313"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 od koncesije</w:t>
            </w:r>
          </w:p>
        </w:tc>
        <w:tc>
          <w:tcPr>
            <w:tcW w:w="2441" w:type="dxa"/>
            <w:hideMark/>
          </w:tcPr>
          <w:p w14:paraId="3DA21EF6"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1.064,00</w:t>
            </w:r>
          </w:p>
        </w:tc>
      </w:tr>
      <w:tr w:rsidR="0055632D" w:rsidRPr="0055632D" w14:paraId="0584ED96"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52F774D9"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4.2.</w:t>
            </w:r>
          </w:p>
        </w:tc>
        <w:tc>
          <w:tcPr>
            <w:tcW w:w="5339" w:type="dxa"/>
            <w:hideMark/>
          </w:tcPr>
          <w:p w14:paraId="7A4A9207" w14:textId="16BBE44C"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 od spomeničke rente</w:t>
            </w:r>
          </w:p>
        </w:tc>
        <w:tc>
          <w:tcPr>
            <w:tcW w:w="2441" w:type="dxa"/>
            <w:hideMark/>
          </w:tcPr>
          <w:p w14:paraId="19D117A6"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7,00</w:t>
            </w:r>
          </w:p>
        </w:tc>
      </w:tr>
      <w:tr w:rsidR="0055632D" w:rsidRPr="0055632D" w14:paraId="30E04214"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579B4265"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4.3.</w:t>
            </w:r>
          </w:p>
        </w:tc>
        <w:tc>
          <w:tcPr>
            <w:tcW w:w="5339" w:type="dxa"/>
            <w:hideMark/>
          </w:tcPr>
          <w:p w14:paraId="7A4F11A7" w14:textId="355082EE"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 od zakupa poljoprivrednog zemljišta</w:t>
            </w:r>
          </w:p>
        </w:tc>
        <w:tc>
          <w:tcPr>
            <w:tcW w:w="2441" w:type="dxa"/>
            <w:hideMark/>
          </w:tcPr>
          <w:p w14:paraId="46652243"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47.029,00</w:t>
            </w:r>
          </w:p>
        </w:tc>
      </w:tr>
      <w:tr w:rsidR="0055632D" w:rsidRPr="0055632D" w14:paraId="45D75371"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2653B5A9"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4.4.</w:t>
            </w:r>
          </w:p>
        </w:tc>
        <w:tc>
          <w:tcPr>
            <w:tcW w:w="5339" w:type="dxa"/>
            <w:hideMark/>
          </w:tcPr>
          <w:p w14:paraId="746CD74D" w14:textId="77445B61"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 od komunalnog doprinosa</w:t>
            </w:r>
          </w:p>
        </w:tc>
        <w:tc>
          <w:tcPr>
            <w:tcW w:w="2441" w:type="dxa"/>
            <w:hideMark/>
          </w:tcPr>
          <w:p w14:paraId="0E8CAD0C"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7.627,00</w:t>
            </w:r>
          </w:p>
        </w:tc>
      </w:tr>
      <w:tr w:rsidR="0055632D" w:rsidRPr="0055632D" w14:paraId="02683CB7"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70A8E4B9"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4.5.</w:t>
            </w:r>
          </w:p>
        </w:tc>
        <w:tc>
          <w:tcPr>
            <w:tcW w:w="5339" w:type="dxa"/>
            <w:hideMark/>
          </w:tcPr>
          <w:p w14:paraId="1A5B82C6" w14:textId="07ABA2B4"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 od komunalne naknade</w:t>
            </w:r>
          </w:p>
        </w:tc>
        <w:tc>
          <w:tcPr>
            <w:tcW w:w="2441" w:type="dxa"/>
            <w:hideMark/>
          </w:tcPr>
          <w:p w14:paraId="43B49941"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92.641,00</w:t>
            </w:r>
          </w:p>
        </w:tc>
      </w:tr>
      <w:tr w:rsidR="0055632D" w:rsidRPr="0055632D" w14:paraId="4B8F2CA4"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73EDF3BF"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4.6.</w:t>
            </w:r>
          </w:p>
        </w:tc>
        <w:tc>
          <w:tcPr>
            <w:tcW w:w="5339" w:type="dxa"/>
            <w:hideMark/>
          </w:tcPr>
          <w:p w14:paraId="0AACDA3B" w14:textId="76566600"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 od šumskog doprinosa</w:t>
            </w:r>
          </w:p>
        </w:tc>
        <w:tc>
          <w:tcPr>
            <w:tcW w:w="2441" w:type="dxa"/>
            <w:hideMark/>
          </w:tcPr>
          <w:p w14:paraId="243CCCF2"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600.000,00</w:t>
            </w:r>
          </w:p>
        </w:tc>
      </w:tr>
      <w:tr w:rsidR="0055632D" w:rsidRPr="0055632D" w14:paraId="192BE2B1"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4EB0696B"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4.7.</w:t>
            </w:r>
          </w:p>
        </w:tc>
        <w:tc>
          <w:tcPr>
            <w:tcW w:w="5339" w:type="dxa"/>
            <w:hideMark/>
          </w:tcPr>
          <w:p w14:paraId="60C8FF8B" w14:textId="26683B4D" w:rsidR="0055632D" w:rsidRPr="0055632D" w:rsidRDefault="00A13955"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Ostali prihodi za posebne namjene</w:t>
            </w:r>
          </w:p>
        </w:tc>
        <w:tc>
          <w:tcPr>
            <w:tcW w:w="2441" w:type="dxa"/>
            <w:hideMark/>
          </w:tcPr>
          <w:p w14:paraId="1A0050E3"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1.515,00</w:t>
            </w:r>
          </w:p>
        </w:tc>
      </w:tr>
      <w:tr w:rsidR="0055632D" w:rsidRPr="0055632D" w14:paraId="1770D830" w14:textId="77777777" w:rsidTr="00A13955">
        <w:trPr>
          <w:trHeight w:val="496"/>
        </w:trPr>
        <w:tc>
          <w:tcPr>
            <w:cnfStyle w:val="001000000000" w:firstRow="0" w:lastRow="0" w:firstColumn="1" w:lastColumn="0" w:oddVBand="0" w:evenVBand="0" w:oddHBand="0" w:evenHBand="0" w:firstRowFirstColumn="0" w:firstRowLastColumn="0" w:lastRowFirstColumn="0" w:lastRowLastColumn="0"/>
            <w:tcW w:w="1939" w:type="dxa"/>
            <w:hideMark/>
          </w:tcPr>
          <w:p w14:paraId="43A46C0E"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4.7.0</w:t>
            </w:r>
          </w:p>
        </w:tc>
        <w:tc>
          <w:tcPr>
            <w:tcW w:w="5339" w:type="dxa"/>
            <w:hideMark/>
          </w:tcPr>
          <w:p w14:paraId="15D22111" w14:textId="40567F7C"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Prihod od prenamjene poljoprivrednog zemljišta u građ</w:t>
            </w:r>
            <w:r w:rsidR="00A13955" w:rsidRPr="006A14FF">
              <w:rPr>
                <w:rFonts w:ascii="Arial" w:eastAsia="Times New Roman" w:hAnsi="Arial" w:cs="Arial"/>
                <w:color w:val="000000"/>
                <w:sz w:val="18"/>
                <w:szCs w:val="18"/>
                <w:lang w:eastAsia="hr-HR"/>
              </w:rPr>
              <w:t xml:space="preserve">evinskog </w:t>
            </w:r>
            <w:r w:rsidRPr="0055632D">
              <w:rPr>
                <w:rFonts w:ascii="Arial" w:eastAsia="Times New Roman" w:hAnsi="Arial" w:cs="Arial"/>
                <w:color w:val="000000"/>
                <w:sz w:val="18"/>
                <w:szCs w:val="18"/>
                <w:lang w:eastAsia="hr-HR"/>
              </w:rPr>
              <w:t>zemlji</w:t>
            </w:r>
            <w:r w:rsidR="00A13955" w:rsidRPr="006A14FF">
              <w:rPr>
                <w:rFonts w:ascii="Arial" w:eastAsia="Times New Roman" w:hAnsi="Arial" w:cs="Arial"/>
                <w:color w:val="000000"/>
                <w:sz w:val="18"/>
                <w:szCs w:val="18"/>
                <w:lang w:eastAsia="hr-HR"/>
              </w:rPr>
              <w:t>šta</w:t>
            </w:r>
          </w:p>
        </w:tc>
        <w:tc>
          <w:tcPr>
            <w:tcW w:w="2441" w:type="dxa"/>
            <w:hideMark/>
          </w:tcPr>
          <w:p w14:paraId="394B43B2"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66,00</w:t>
            </w:r>
          </w:p>
        </w:tc>
      </w:tr>
      <w:tr w:rsidR="0055632D" w:rsidRPr="0055632D" w14:paraId="5E9C50D0"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5F2258B7"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4.7.1</w:t>
            </w:r>
          </w:p>
        </w:tc>
        <w:tc>
          <w:tcPr>
            <w:tcW w:w="5339" w:type="dxa"/>
            <w:hideMark/>
          </w:tcPr>
          <w:p w14:paraId="43B255EC" w14:textId="77777777"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Prihod od korištenja nefinancijske imovine INA</w:t>
            </w:r>
          </w:p>
        </w:tc>
        <w:tc>
          <w:tcPr>
            <w:tcW w:w="2441" w:type="dxa"/>
            <w:hideMark/>
          </w:tcPr>
          <w:p w14:paraId="2B9718BA"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99,00</w:t>
            </w:r>
          </w:p>
        </w:tc>
      </w:tr>
      <w:tr w:rsidR="0055632D" w:rsidRPr="0055632D" w14:paraId="46002EE8"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2DD53313"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4.7.2</w:t>
            </w:r>
          </w:p>
        </w:tc>
        <w:tc>
          <w:tcPr>
            <w:tcW w:w="5339" w:type="dxa"/>
            <w:hideMark/>
          </w:tcPr>
          <w:p w14:paraId="67152EE0" w14:textId="09B336FD"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 xml:space="preserve">Naknada za zadržavanje nezakonito </w:t>
            </w:r>
            <w:proofErr w:type="spellStart"/>
            <w:r w:rsidRPr="0055632D">
              <w:rPr>
                <w:rFonts w:ascii="Arial" w:eastAsia="Times New Roman" w:hAnsi="Arial" w:cs="Arial"/>
                <w:color w:val="000000"/>
                <w:sz w:val="18"/>
                <w:szCs w:val="18"/>
                <w:lang w:eastAsia="hr-HR"/>
              </w:rPr>
              <w:t>izg</w:t>
            </w:r>
            <w:proofErr w:type="spellEnd"/>
            <w:r w:rsidRPr="0055632D">
              <w:rPr>
                <w:rFonts w:ascii="Arial" w:eastAsia="Times New Roman" w:hAnsi="Arial" w:cs="Arial"/>
                <w:color w:val="000000"/>
                <w:sz w:val="18"/>
                <w:szCs w:val="18"/>
                <w:lang w:eastAsia="hr-HR"/>
              </w:rPr>
              <w:t>.</w:t>
            </w:r>
            <w:r w:rsidR="00A13955" w:rsidRPr="006A14FF">
              <w:rPr>
                <w:rFonts w:ascii="Arial" w:eastAsia="Times New Roman" w:hAnsi="Arial" w:cs="Arial"/>
                <w:color w:val="000000"/>
                <w:sz w:val="18"/>
                <w:szCs w:val="18"/>
                <w:lang w:eastAsia="hr-HR"/>
              </w:rPr>
              <w:t xml:space="preserve"> </w:t>
            </w:r>
            <w:r w:rsidRPr="0055632D">
              <w:rPr>
                <w:rFonts w:ascii="Arial" w:eastAsia="Times New Roman" w:hAnsi="Arial" w:cs="Arial"/>
                <w:color w:val="000000"/>
                <w:sz w:val="18"/>
                <w:szCs w:val="18"/>
                <w:lang w:eastAsia="hr-HR"/>
              </w:rPr>
              <w:t>građevina -legal</w:t>
            </w:r>
            <w:r w:rsidR="00A13955" w:rsidRPr="006A14FF">
              <w:rPr>
                <w:rFonts w:ascii="Arial" w:eastAsia="Times New Roman" w:hAnsi="Arial" w:cs="Arial"/>
                <w:color w:val="000000"/>
                <w:sz w:val="18"/>
                <w:szCs w:val="18"/>
                <w:lang w:eastAsia="hr-HR"/>
              </w:rPr>
              <w:t>izacija</w:t>
            </w:r>
          </w:p>
        </w:tc>
        <w:tc>
          <w:tcPr>
            <w:tcW w:w="2441" w:type="dxa"/>
            <w:hideMark/>
          </w:tcPr>
          <w:p w14:paraId="32B43273"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1.121,00</w:t>
            </w:r>
          </w:p>
        </w:tc>
      </w:tr>
      <w:tr w:rsidR="0055632D" w:rsidRPr="0055632D" w14:paraId="2CC5357B" w14:textId="77777777" w:rsidTr="00A13955">
        <w:trPr>
          <w:trHeight w:val="300"/>
        </w:trPr>
        <w:tc>
          <w:tcPr>
            <w:cnfStyle w:val="001000000000" w:firstRow="0" w:lastRow="0" w:firstColumn="1" w:lastColumn="0" w:oddVBand="0" w:evenVBand="0" w:oddHBand="0" w:evenHBand="0" w:firstRowFirstColumn="0" w:firstRowLastColumn="0" w:lastRowFirstColumn="0" w:lastRowLastColumn="0"/>
            <w:tcW w:w="1939" w:type="dxa"/>
            <w:hideMark/>
          </w:tcPr>
          <w:p w14:paraId="10145EEA" w14:textId="77777777" w:rsidR="0055632D" w:rsidRPr="0055632D" w:rsidRDefault="0055632D" w:rsidP="0055632D">
            <w:pPr>
              <w:spacing w:after="0" w:line="240" w:lineRule="auto"/>
              <w:rPr>
                <w:rFonts w:ascii="Arial" w:eastAsia="Times New Roman" w:hAnsi="Arial" w:cs="Arial"/>
                <w:b w:val="0"/>
                <w:bCs w:val="0"/>
                <w:color w:val="000000"/>
                <w:sz w:val="18"/>
                <w:szCs w:val="18"/>
                <w:lang w:eastAsia="hr-HR"/>
              </w:rPr>
            </w:pPr>
            <w:r w:rsidRPr="0055632D">
              <w:rPr>
                <w:rFonts w:ascii="Arial" w:eastAsia="Times New Roman" w:hAnsi="Arial" w:cs="Arial"/>
                <w:b w:val="0"/>
                <w:bCs w:val="0"/>
                <w:color w:val="000000"/>
                <w:sz w:val="18"/>
                <w:szCs w:val="18"/>
                <w:lang w:eastAsia="hr-HR"/>
              </w:rPr>
              <w:t>Izvor   4.7.3</w:t>
            </w:r>
          </w:p>
        </w:tc>
        <w:tc>
          <w:tcPr>
            <w:tcW w:w="5339" w:type="dxa"/>
            <w:hideMark/>
          </w:tcPr>
          <w:p w14:paraId="7889E84F" w14:textId="77777777" w:rsidR="0055632D" w:rsidRPr="0055632D" w:rsidRDefault="0055632D" w:rsidP="0055632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Vodni doprinos</w:t>
            </w:r>
          </w:p>
        </w:tc>
        <w:tc>
          <w:tcPr>
            <w:tcW w:w="2441" w:type="dxa"/>
            <w:hideMark/>
          </w:tcPr>
          <w:p w14:paraId="5DA20C78" w14:textId="77777777" w:rsidR="0055632D" w:rsidRPr="0055632D" w:rsidRDefault="0055632D" w:rsidP="0055632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55632D">
              <w:rPr>
                <w:rFonts w:ascii="Arial" w:eastAsia="Times New Roman" w:hAnsi="Arial" w:cs="Arial"/>
                <w:color w:val="000000"/>
                <w:sz w:val="18"/>
                <w:szCs w:val="18"/>
                <w:lang w:eastAsia="hr-HR"/>
              </w:rPr>
              <w:t>229,00</w:t>
            </w:r>
          </w:p>
        </w:tc>
      </w:tr>
    </w:tbl>
    <w:p w14:paraId="01339EDF" w14:textId="77777777" w:rsidR="0000722C" w:rsidRDefault="00BF43B6" w:rsidP="0000722C">
      <w:pPr>
        <w:rPr>
          <w:rFonts w:ascii="Arial Narrow" w:hAnsi="Arial Narrow" w:cs="Arial"/>
          <w:sz w:val="20"/>
          <w:szCs w:val="20"/>
        </w:rPr>
      </w:pPr>
      <w:r>
        <w:rPr>
          <w:rFonts w:ascii="Arial Narrow" w:hAnsi="Arial Narrow" w:cs="Arial"/>
          <w:sz w:val="20"/>
          <w:szCs w:val="20"/>
        </w:rPr>
        <w:t xml:space="preserve">Prihodi od pomoći </w:t>
      </w:r>
      <w:r w:rsidR="00AE1422">
        <w:rPr>
          <w:rFonts w:ascii="Arial Narrow" w:hAnsi="Arial Narrow" w:cs="Arial"/>
          <w:sz w:val="20"/>
          <w:szCs w:val="20"/>
        </w:rPr>
        <w:t xml:space="preserve">čine </w:t>
      </w:r>
      <w:r w:rsidR="00B70433">
        <w:rPr>
          <w:rFonts w:ascii="Arial Narrow" w:hAnsi="Arial Narrow" w:cs="Arial"/>
          <w:sz w:val="20"/>
          <w:szCs w:val="20"/>
        </w:rPr>
        <w:t>45,00</w:t>
      </w:r>
      <w:r w:rsidR="00AE1422">
        <w:rPr>
          <w:rFonts w:ascii="Arial Narrow" w:hAnsi="Arial Narrow" w:cs="Arial"/>
          <w:sz w:val="20"/>
          <w:szCs w:val="20"/>
        </w:rPr>
        <w:t xml:space="preserve">% ukupnog proračuna .  </w:t>
      </w:r>
    </w:p>
    <w:p w14:paraId="5B9390C5" w14:textId="4B6F2036" w:rsidR="00DD6FD2" w:rsidRPr="00DD6FD2" w:rsidRDefault="007B0A80" w:rsidP="0000722C">
      <w:pPr>
        <w:rPr>
          <w:rFonts w:ascii="Arial Narrow" w:hAnsi="Arial Narrow" w:cs="Arial"/>
          <w:sz w:val="20"/>
          <w:szCs w:val="20"/>
        </w:rPr>
      </w:pPr>
      <w:r w:rsidRPr="00326847">
        <w:rPr>
          <w:rFonts w:ascii="Arial Narrow" w:hAnsi="Arial Narrow" w:cs="Arial"/>
          <w:color w:val="7F7F7F" w:themeColor="text1" w:themeTint="80"/>
          <w:sz w:val="20"/>
          <w:szCs w:val="20"/>
        </w:rPr>
        <w:t>Kapitalne pomoći iz državnog proračuna</w:t>
      </w:r>
      <w:r w:rsidRPr="007B0A80">
        <w:rPr>
          <w:rFonts w:ascii="Arial Narrow" w:hAnsi="Arial Narrow" w:cs="Arial"/>
          <w:sz w:val="20"/>
          <w:szCs w:val="20"/>
        </w:rPr>
        <w:t>-</w:t>
      </w:r>
      <w:r w:rsidR="00DD6FD2" w:rsidRPr="00DD6FD2">
        <w:rPr>
          <w:rFonts w:ascii="Arial Narrow" w:hAnsi="Arial Narrow" w:cs="Arial"/>
          <w:sz w:val="20"/>
          <w:szCs w:val="20"/>
        </w:rPr>
        <w:t>Kapitalne pomoći iz državnog proračuna MPUGDI- Tržnica</w:t>
      </w:r>
    </w:p>
    <w:p w14:paraId="68945BD6" w14:textId="34629007" w:rsidR="00DD6FD2" w:rsidRDefault="00DD6FD2" w:rsidP="00DD6FD2">
      <w:pPr>
        <w:spacing w:after="0"/>
        <w:rPr>
          <w:rFonts w:ascii="Arial Narrow" w:hAnsi="Arial Narrow" w:cs="Arial"/>
          <w:sz w:val="20"/>
          <w:szCs w:val="20"/>
        </w:rPr>
      </w:pPr>
      <w:r w:rsidRPr="00DD6FD2">
        <w:rPr>
          <w:rFonts w:ascii="Arial Narrow" w:hAnsi="Arial Narrow" w:cs="Arial"/>
          <w:sz w:val="20"/>
          <w:szCs w:val="20"/>
        </w:rPr>
        <w:t>Kapitalne pomoći iz državnog proračuna za PK</w:t>
      </w:r>
      <w:r>
        <w:rPr>
          <w:rFonts w:ascii="Arial Narrow" w:hAnsi="Arial Narrow" w:cs="Arial"/>
          <w:sz w:val="20"/>
          <w:szCs w:val="20"/>
        </w:rPr>
        <w:t xml:space="preserve"> </w:t>
      </w:r>
      <w:r w:rsidRPr="00DD6FD2">
        <w:rPr>
          <w:rFonts w:ascii="Arial Narrow" w:hAnsi="Arial Narrow" w:cs="Arial"/>
          <w:sz w:val="20"/>
          <w:szCs w:val="20"/>
        </w:rPr>
        <w:t xml:space="preserve">Narodna knjižnica i čitaonica </w:t>
      </w:r>
      <w:r>
        <w:rPr>
          <w:rFonts w:ascii="Arial Narrow" w:hAnsi="Arial Narrow" w:cs="Arial"/>
          <w:sz w:val="20"/>
          <w:szCs w:val="20"/>
        </w:rPr>
        <w:t>L</w:t>
      </w:r>
      <w:r w:rsidRPr="00DD6FD2">
        <w:rPr>
          <w:rFonts w:ascii="Arial Narrow" w:hAnsi="Arial Narrow" w:cs="Arial"/>
          <w:sz w:val="20"/>
          <w:szCs w:val="20"/>
        </w:rPr>
        <w:t>ipovljani</w:t>
      </w:r>
      <w:r>
        <w:rPr>
          <w:rFonts w:ascii="Arial Narrow" w:hAnsi="Arial Narrow" w:cs="Arial"/>
          <w:sz w:val="20"/>
          <w:szCs w:val="20"/>
        </w:rPr>
        <w:t xml:space="preserve"> </w:t>
      </w:r>
      <w:r w:rsidRPr="00DD6FD2">
        <w:rPr>
          <w:rFonts w:ascii="Arial Narrow" w:hAnsi="Arial Narrow" w:cs="Arial"/>
          <w:sz w:val="20"/>
          <w:szCs w:val="20"/>
        </w:rPr>
        <w:t>Kapitalne pomoći iz državnog proračuna,</w:t>
      </w:r>
      <w:r w:rsidR="00326847">
        <w:rPr>
          <w:rFonts w:ascii="Arial Narrow" w:hAnsi="Arial Narrow" w:cs="Arial"/>
          <w:sz w:val="20"/>
          <w:szCs w:val="20"/>
        </w:rPr>
        <w:t xml:space="preserve"> </w:t>
      </w:r>
      <w:r w:rsidRPr="00DD6FD2">
        <w:rPr>
          <w:rFonts w:ascii="Arial Narrow" w:hAnsi="Arial Narrow" w:cs="Arial"/>
          <w:sz w:val="20"/>
          <w:szCs w:val="20"/>
        </w:rPr>
        <w:t xml:space="preserve">knjižna i </w:t>
      </w:r>
      <w:proofErr w:type="spellStart"/>
      <w:r w:rsidRPr="00DD6FD2">
        <w:rPr>
          <w:rFonts w:ascii="Arial Narrow" w:hAnsi="Arial Narrow" w:cs="Arial"/>
          <w:sz w:val="20"/>
          <w:szCs w:val="20"/>
        </w:rPr>
        <w:t>neknjižna</w:t>
      </w:r>
      <w:proofErr w:type="spellEnd"/>
      <w:r w:rsidRPr="00DD6FD2">
        <w:rPr>
          <w:rFonts w:ascii="Arial Narrow" w:hAnsi="Arial Narrow" w:cs="Arial"/>
          <w:sz w:val="20"/>
          <w:szCs w:val="20"/>
        </w:rPr>
        <w:t xml:space="preserve"> građa</w:t>
      </w:r>
      <w:r w:rsidR="00326847">
        <w:rPr>
          <w:rFonts w:ascii="Arial Narrow" w:hAnsi="Arial Narrow" w:cs="Arial"/>
          <w:sz w:val="20"/>
          <w:szCs w:val="20"/>
        </w:rPr>
        <w:t xml:space="preserve"> </w:t>
      </w:r>
      <w:r w:rsidRPr="00DD6FD2">
        <w:rPr>
          <w:rFonts w:ascii="Arial Narrow" w:hAnsi="Arial Narrow" w:cs="Arial"/>
          <w:sz w:val="20"/>
          <w:szCs w:val="20"/>
        </w:rPr>
        <w:t>,otkup,</w:t>
      </w:r>
      <w:r w:rsidR="00326847">
        <w:rPr>
          <w:rFonts w:ascii="Arial Narrow" w:hAnsi="Arial Narrow" w:cs="Arial"/>
          <w:sz w:val="20"/>
          <w:szCs w:val="20"/>
        </w:rPr>
        <w:t xml:space="preserve"> nabava </w:t>
      </w:r>
      <w:r w:rsidRPr="00DD6FD2">
        <w:rPr>
          <w:rFonts w:ascii="Arial Narrow" w:hAnsi="Arial Narrow" w:cs="Arial"/>
          <w:sz w:val="20"/>
          <w:szCs w:val="20"/>
        </w:rPr>
        <w:t>oprem</w:t>
      </w:r>
      <w:r w:rsidR="00326847">
        <w:rPr>
          <w:rFonts w:ascii="Arial Narrow" w:hAnsi="Arial Narrow" w:cs="Arial"/>
          <w:sz w:val="20"/>
          <w:szCs w:val="20"/>
        </w:rPr>
        <w:t>e</w:t>
      </w:r>
    </w:p>
    <w:p w14:paraId="70760BBF" w14:textId="79ED10A1" w:rsidR="00326847" w:rsidRPr="00326847" w:rsidRDefault="00326847" w:rsidP="00DD6FD2">
      <w:pPr>
        <w:spacing w:after="0"/>
        <w:rPr>
          <w:rFonts w:ascii="Arial Narrow" w:hAnsi="Arial Narrow" w:cs="Arial"/>
          <w:color w:val="7F7F7F" w:themeColor="text1" w:themeTint="80"/>
          <w:sz w:val="20"/>
          <w:szCs w:val="20"/>
        </w:rPr>
      </w:pPr>
      <w:r w:rsidRPr="00326847">
        <w:rPr>
          <w:rFonts w:ascii="Arial Narrow" w:hAnsi="Arial Narrow" w:cs="Arial"/>
          <w:color w:val="7F7F7F" w:themeColor="text1" w:themeTint="80"/>
          <w:sz w:val="20"/>
          <w:szCs w:val="20"/>
        </w:rPr>
        <w:t xml:space="preserve">Tekuće pomoći iz državnog proračuna </w:t>
      </w:r>
    </w:p>
    <w:p w14:paraId="06349727" w14:textId="0A43CBB5"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iz državnog proračuna</w:t>
      </w:r>
      <w:r>
        <w:rPr>
          <w:rFonts w:ascii="Arial Narrow" w:hAnsi="Arial Narrow" w:cs="Arial"/>
          <w:sz w:val="20"/>
          <w:szCs w:val="20"/>
        </w:rPr>
        <w:t xml:space="preserve">- </w:t>
      </w:r>
      <w:r w:rsidRPr="00DD6FD2">
        <w:rPr>
          <w:rFonts w:ascii="Arial Narrow" w:hAnsi="Arial Narrow" w:cs="Arial"/>
          <w:sz w:val="20"/>
          <w:szCs w:val="20"/>
        </w:rPr>
        <w:t>Savjet za nacionalne manjine-</w:t>
      </w:r>
      <w:r w:rsidR="00326847">
        <w:rPr>
          <w:rFonts w:ascii="Arial Narrow" w:hAnsi="Arial Narrow" w:cs="Arial"/>
          <w:sz w:val="20"/>
          <w:szCs w:val="20"/>
        </w:rPr>
        <w:t xml:space="preserve">manifestacija </w:t>
      </w:r>
      <w:proofErr w:type="spellStart"/>
      <w:r w:rsidRPr="00DD6FD2">
        <w:rPr>
          <w:rFonts w:ascii="Arial Narrow" w:hAnsi="Arial Narrow" w:cs="Arial"/>
          <w:sz w:val="20"/>
          <w:szCs w:val="20"/>
        </w:rPr>
        <w:t>Lipovljanski</w:t>
      </w:r>
      <w:proofErr w:type="spellEnd"/>
      <w:r w:rsidRPr="00DD6FD2">
        <w:rPr>
          <w:rFonts w:ascii="Arial Narrow" w:hAnsi="Arial Narrow" w:cs="Arial"/>
          <w:sz w:val="20"/>
          <w:szCs w:val="20"/>
        </w:rPr>
        <w:t xml:space="preserve"> susreti</w:t>
      </w:r>
    </w:p>
    <w:p w14:paraId="2A975437" w14:textId="7777777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iz državnog proračuna-Program Zaželi i ostvari15%</w:t>
      </w:r>
    </w:p>
    <w:p w14:paraId="0A86796E" w14:textId="7777777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 xml:space="preserve">Tekuće pomoći Ministarstvo kulture -Manifestacija </w:t>
      </w:r>
      <w:proofErr w:type="spellStart"/>
      <w:r w:rsidRPr="00DD6FD2">
        <w:rPr>
          <w:rFonts w:ascii="Arial Narrow" w:hAnsi="Arial Narrow" w:cs="Arial"/>
          <w:sz w:val="20"/>
          <w:szCs w:val="20"/>
        </w:rPr>
        <w:t>Lipovljanski</w:t>
      </w:r>
      <w:proofErr w:type="spellEnd"/>
      <w:r w:rsidRPr="00DD6FD2">
        <w:rPr>
          <w:rFonts w:ascii="Arial Narrow" w:hAnsi="Arial Narrow" w:cs="Arial"/>
          <w:sz w:val="20"/>
          <w:szCs w:val="20"/>
        </w:rPr>
        <w:t xml:space="preserve"> susreti</w:t>
      </w:r>
    </w:p>
    <w:p w14:paraId="61CA785C" w14:textId="1D39DA88"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iz državnog proračuna za PK</w:t>
      </w:r>
      <w:r>
        <w:rPr>
          <w:rFonts w:ascii="Arial Narrow" w:hAnsi="Arial Narrow" w:cs="Arial"/>
          <w:sz w:val="20"/>
          <w:szCs w:val="20"/>
        </w:rPr>
        <w:t>-</w:t>
      </w:r>
      <w:r w:rsidRPr="00DD6FD2">
        <w:rPr>
          <w:rFonts w:ascii="Arial Narrow" w:hAnsi="Arial Narrow" w:cs="Arial"/>
          <w:sz w:val="20"/>
          <w:szCs w:val="20"/>
        </w:rPr>
        <w:t>Dječji vrtić iskrica</w:t>
      </w:r>
      <w:r>
        <w:rPr>
          <w:rFonts w:ascii="Arial Narrow" w:hAnsi="Arial Narrow" w:cs="Arial"/>
          <w:sz w:val="20"/>
          <w:szCs w:val="20"/>
        </w:rPr>
        <w:t xml:space="preserve"> </w:t>
      </w:r>
      <w:r w:rsidRPr="00DD6FD2">
        <w:rPr>
          <w:rFonts w:ascii="Arial Narrow" w:hAnsi="Arial Narrow" w:cs="Arial"/>
          <w:sz w:val="20"/>
          <w:szCs w:val="20"/>
        </w:rPr>
        <w:t>Tekuće pomoći  Ministarstvo obrazovanja-transfer vrtić</w:t>
      </w:r>
    </w:p>
    <w:p w14:paraId="44CB7C00" w14:textId="7777777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iz državnog proračuna Fiskalna održivost dječjih vrtića</w:t>
      </w:r>
    </w:p>
    <w:p w14:paraId="06C68788" w14:textId="7777777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iz županijskog proračuna -Lokalni izbori</w:t>
      </w:r>
    </w:p>
    <w:p w14:paraId="094A23B5" w14:textId="205693E4" w:rsidR="00DD6FD2" w:rsidRPr="00326847" w:rsidRDefault="00326847" w:rsidP="00DD6FD2">
      <w:pPr>
        <w:spacing w:after="0"/>
        <w:rPr>
          <w:rFonts w:ascii="Arial Narrow" w:hAnsi="Arial Narrow" w:cs="Arial"/>
          <w:color w:val="7F7F7F" w:themeColor="text1" w:themeTint="80"/>
          <w:sz w:val="20"/>
          <w:szCs w:val="20"/>
        </w:rPr>
      </w:pPr>
      <w:r w:rsidRPr="00326847">
        <w:rPr>
          <w:rFonts w:ascii="Arial Narrow" w:hAnsi="Arial Narrow" w:cs="Arial"/>
          <w:color w:val="7F7F7F" w:themeColor="text1" w:themeTint="80"/>
          <w:sz w:val="20"/>
          <w:szCs w:val="20"/>
        </w:rPr>
        <w:t>Pomoći od izvanproračunskih korisnika</w:t>
      </w:r>
    </w:p>
    <w:p w14:paraId="77F72C05" w14:textId="5CAA71A5"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 xml:space="preserve">Kapitalne pomoći od </w:t>
      </w:r>
      <w:proofErr w:type="spellStart"/>
      <w:r w:rsidRPr="00DD6FD2">
        <w:rPr>
          <w:rFonts w:ascii="Arial Narrow" w:hAnsi="Arial Narrow" w:cs="Arial"/>
          <w:sz w:val="20"/>
          <w:szCs w:val="20"/>
        </w:rPr>
        <w:t>izvanprorač</w:t>
      </w:r>
      <w:proofErr w:type="spellEnd"/>
      <w:r w:rsidRPr="00DD6FD2">
        <w:rPr>
          <w:rFonts w:ascii="Arial Narrow" w:hAnsi="Arial Narrow" w:cs="Arial"/>
          <w:sz w:val="20"/>
          <w:szCs w:val="20"/>
        </w:rPr>
        <w:t>.</w:t>
      </w:r>
      <w:r w:rsidR="00326847">
        <w:rPr>
          <w:rFonts w:ascii="Arial Narrow" w:hAnsi="Arial Narrow" w:cs="Arial"/>
          <w:sz w:val="20"/>
          <w:szCs w:val="20"/>
        </w:rPr>
        <w:t xml:space="preserve"> </w:t>
      </w:r>
      <w:r w:rsidRPr="00DD6FD2">
        <w:rPr>
          <w:rFonts w:ascii="Arial Narrow" w:hAnsi="Arial Narrow" w:cs="Arial"/>
          <w:sz w:val="20"/>
          <w:szCs w:val="20"/>
        </w:rPr>
        <w:t xml:space="preserve">korisnika </w:t>
      </w:r>
      <w:proofErr w:type="spellStart"/>
      <w:r w:rsidRPr="00DD6FD2">
        <w:rPr>
          <w:rFonts w:ascii="Arial Narrow" w:hAnsi="Arial Narrow" w:cs="Arial"/>
          <w:sz w:val="20"/>
          <w:szCs w:val="20"/>
        </w:rPr>
        <w:t>žup</w:t>
      </w:r>
      <w:proofErr w:type="spellEnd"/>
      <w:r w:rsidRPr="00DD6FD2">
        <w:rPr>
          <w:rFonts w:ascii="Arial Narrow" w:hAnsi="Arial Narrow" w:cs="Arial"/>
          <w:sz w:val="20"/>
          <w:szCs w:val="20"/>
        </w:rPr>
        <w:t xml:space="preserve">., gradskih i </w:t>
      </w:r>
      <w:proofErr w:type="spellStart"/>
      <w:r w:rsidRPr="00DD6FD2">
        <w:rPr>
          <w:rFonts w:ascii="Arial Narrow" w:hAnsi="Arial Narrow" w:cs="Arial"/>
          <w:sz w:val="20"/>
          <w:szCs w:val="20"/>
        </w:rPr>
        <w:t>opć</w:t>
      </w:r>
      <w:proofErr w:type="spellEnd"/>
      <w:r w:rsidRPr="00DD6FD2">
        <w:rPr>
          <w:rFonts w:ascii="Arial Narrow" w:hAnsi="Arial Narrow" w:cs="Arial"/>
          <w:sz w:val="20"/>
          <w:szCs w:val="20"/>
        </w:rPr>
        <w:t xml:space="preserve">. </w:t>
      </w:r>
      <w:proofErr w:type="spellStart"/>
      <w:r w:rsidRPr="00DD6FD2">
        <w:rPr>
          <w:rFonts w:ascii="Arial Narrow" w:hAnsi="Arial Narrow" w:cs="Arial"/>
          <w:sz w:val="20"/>
          <w:szCs w:val="20"/>
        </w:rPr>
        <w:t>pror</w:t>
      </w:r>
      <w:proofErr w:type="spellEnd"/>
      <w:r w:rsidRPr="00DD6FD2">
        <w:rPr>
          <w:rFonts w:ascii="Arial Narrow" w:hAnsi="Arial Narrow" w:cs="Arial"/>
          <w:sz w:val="20"/>
          <w:szCs w:val="20"/>
        </w:rPr>
        <w:t>.</w:t>
      </w:r>
      <w:r w:rsidR="00326847">
        <w:rPr>
          <w:rFonts w:ascii="Arial Narrow" w:hAnsi="Arial Narrow" w:cs="Arial"/>
          <w:sz w:val="20"/>
          <w:szCs w:val="20"/>
        </w:rPr>
        <w:t xml:space="preserve"> </w:t>
      </w:r>
      <w:r w:rsidRPr="00DD6FD2">
        <w:rPr>
          <w:rFonts w:ascii="Arial Narrow" w:hAnsi="Arial Narrow" w:cs="Arial"/>
          <w:sz w:val="20"/>
          <w:szCs w:val="20"/>
        </w:rPr>
        <w:t>ŽUC</w:t>
      </w:r>
      <w:r w:rsidR="00326847">
        <w:rPr>
          <w:rFonts w:ascii="Arial Narrow" w:hAnsi="Arial Narrow" w:cs="Arial"/>
          <w:sz w:val="20"/>
          <w:szCs w:val="20"/>
        </w:rPr>
        <w:t>-SMŽ</w:t>
      </w:r>
      <w:r w:rsidRPr="00DD6FD2">
        <w:rPr>
          <w:rFonts w:ascii="Arial Narrow" w:hAnsi="Arial Narrow" w:cs="Arial"/>
          <w:sz w:val="20"/>
          <w:szCs w:val="20"/>
        </w:rPr>
        <w:t xml:space="preserve"> -</w:t>
      </w:r>
      <w:r w:rsidR="00326847">
        <w:rPr>
          <w:rFonts w:ascii="Arial Narrow" w:hAnsi="Arial Narrow" w:cs="Arial"/>
          <w:sz w:val="20"/>
          <w:szCs w:val="20"/>
        </w:rPr>
        <w:t xml:space="preserve">za gradnju </w:t>
      </w:r>
      <w:r w:rsidRPr="00DD6FD2">
        <w:rPr>
          <w:rFonts w:ascii="Arial Narrow" w:hAnsi="Arial Narrow" w:cs="Arial"/>
          <w:sz w:val="20"/>
          <w:szCs w:val="20"/>
        </w:rPr>
        <w:t>most</w:t>
      </w:r>
      <w:r w:rsidR="00326847">
        <w:rPr>
          <w:rFonts w:ascii="Arial Narrow" w:hAnsi="Arial Narrow" w:cs="Arial"/>
          <w:sz w:val="20"/>
          <w:szCs w:val="20"/>
        </w:rPr>
        <w:t>a</w:t>
      </w:r>
      <w:r w:rsidRPr="00DD6FD2">
        <w:rPr>
          <w:rFonts w:ascii="Arial Narrow" w:hAnsi="Arial Narrow" w:cs="Arial"/>
          <w:sz w:val="20"/>
          <w:szCs w:val="20"/>
        </w:rPr>
        <w:t xml:space="preserve"> u </w:t>
      </w:r>
      <w:proofErr w:type="spellStart"/>
      <w:r w:rsidRPr="00DD6FD2">
        <w:rPr>
          <w:rFonts w:ascii="Arial Narrow" w:hAnsi="Arial Narrow" w:cs="Arial"/>
          <w:sz w:val="20"/>
          <w:szCs w:val="20"/>
        </w:rPr>
        <w:t>Piljenicama</w:t>
      </w:r>
      <w:proofErr w:type="spellEnd"/>
    </w:p>
    <w:p w14:paraId="138253B2" w14:textId="3B00DD9A"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 xml:space="preserve">Tekuće pomoći </w:t>
      </w:r>
      <w:proofErr w:type="spellStart"/>
      <w:r w:rsidRPr="00DD6FD2">
        <w:rPr>
          <w:rFonts w:ascii="Arial Narrow" w:hAnsi="Arial Narrow" w:cs="Arial"/>
          <w:sz w:val="20"/>
          <w:szCs w:val="20"/>
        </w:rPr>
        <w:t>izvanpr</w:t>
      </w:r>
      <w:r w:rsidR="00326847">
        <w:rPr>
          <w:rFonts w:ascii="Arial Narrow" w:hAnsi="Arial Narrow" w:cs="Arial"/>
          <w:sz w:val="20"/>
          <w:szCs w:val="20"/>
        </w:rPr>
        <w:t>orač</w:t>
      </w:r>
      <w:proofErr w:type="spellEnd"/>
      <w:r w:rsidR="00326847">
        <w:rPr>
          <w:rFonts w:ascii="Arial Narrow" w:hAnsi="Arial Narrow" w:cs="Arial"/>
          <w:sz w:val="20"/>
          <w:szCs w:val="20"/>
        </w:rPr>
        <w:t xml:space="preserve">.  </w:t>
      </w:r>
      <w:r w:rsidRPr="00DD6FD2">
        <w:rPr>
          <w:rFonts w:ascii="Arial Narrow" w:hAnsi="Arial Narrow" w:cs="Arial"/>
          <w:sz w:val="20"/>
          <w:szCs w:val="20"/>
        </w:rPr>
        <w:t>korisnika HZZ- programi-Javni radovi</w:t>
      </w:r>
    </w:p>
    <w:p w14:paraId="09D19109" w14:textId="470447F0"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FZOEU-Projekt poticanja odvojenog sakup</w:t>
      </w:r>
      <w:r w:rsidR="00326847">
        <w:rPr>
          <w:rFonts w:ascii="Arial Narrow" w:hAnsi="Arial Narrow" w:cs="Arial"/>
          <w:sz w:val="20"/>
          <w:szCs w:val="20"/>
        </w:rPr>
        <w:t xml:space="preserve">ljanja </w:t>
      </w:r>
      <w:r w:rsidRPr="00DD6FD2">
        <w:rPr>
          <w:rFonts w:ascii="Arial Narrow" w:hAnsi="Arial Narrow" w:cs="Arial"/>
          <w:sz w:val="20"/>
          <w:szCs w:val="20"/>
        </w:rPr>
        <w:t>kom.</w:t>
      </w:r>
      <w:r w:rsidR="00326847">
        <w:rPr>
          <w:rFonts w:ascii="Arial Narrow" w:hAnsi="Arial Narrow" w:cs="Arial"/>
          <w:sz w:val="20"/>
          <w:szCs w:val="20"/>
        </w:rPr>
        <w:t xml:space="preserve"> </w:t>
      </w:r>
      <w:r w:rsidRPr="00DD6FD2">
        <w:rPr>
          <w:rFonts w:ascii="Arial Narrow" w:hAnsi="Arial Narrow" w:cs="Arial"/>
          <w:sz w:val="20"/>
          <w:szCs w:val="20"/>
        </w:rPr>
        <w:t>otpada</w:t>
      </w:r>
    </w:p>
    <w:p w14:paraId="47B5B0AE" w14:textId="262E2F57" w:rsidR="00DD6FD2" w:rsidRPr="00326847" w:rsidRDefault="00326847" w:rsidP="00DD6FD2">
      <w:pPr>
        <w:spacing w:after="0"/>
        <w:rPr>
          <w:rFonts w:ascii="Arial Narrow" w:hAnsi="Arial Narrow" w:cs="Arial"/>
          <w:color w:val="7F7F7F" w:themeColor="text1" w:themeTint="80"/>
          <w:sz w:val="20"/>
          <w:szCs w:val="20"/>
        </w:rPr>
      </w:pPr>
      <w:r w:rsidRPr="00326847">
        <w:rPr>
          <w:rFonts w:ascii="Arial Narrow" w:hAnsi="Arial Narrow" w:cs="Arial"/>
          <w:color w:val="7F7F7F" w:themeColor="text1" w:themeTint="80"/>
          <w:sz w:val="20"/>
          <w:szCs w:val="20"/>
        </w:rPr>
        <w:t>Pomoći fiskalnog izravnanja</w:t>
      </w:r>
    </w:p>
    <w:p w14:paraId="33322BCC" w14:textId="01F0DE4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Pomoći fiskalnog izravnanja</w:t>
      </w:r>
      <w:r w:rsidR="00A13955" w:rsidRPr="00A13955">
        <w:rPr>
          <w:rFonts w:ascii="Arial Narrow" w:hAnsi="Arial Narrow" w:cs="Arial"/>
          <w:sz w:val="20"/>
          <w:szCs w:val="20"/>
        </w:rPr>
        <w:t>. Tekuća pomoć iz državnog proračuna  po Odluci Ministra financija o udjelu sredstava fiskalnog izravnanja poreza na dohodak . Glavna svrha dodjele pomoći je postizanje vodoravnog fiskalnog izravnanja kojim se želi pomoći slabije razvijenim lokalnim jedinicama u financiranju javnih usluga. Dotacije se na temelju mjerenja fiskalne nejednakosti (koji uključuje izračunavanje fiskalnoga kapaciteta) izravno dodjeljuju lokalnim jedinicama s ispodprosječnim fiskalnim kapacitetom. Udio Proračuna općih prihoda i primitaka čini 10% ukupnog Proračuna.</w:t>
      </w:r>
    </w:p>
    <w:p w14:paraId="132CF761" w14:textId="2A56FD0E" w:rsidR="00DD6FD2" w:rsidRPr="00326847" w:rsidRDefault="00326847" w:rsidP="00DD6FD2">
      <w:pPr>
        <w:spacing w:after="0"/>
        <w:rPr>
          <w:rFonts w:ascii="Arial Narrow" w:hAnsi="Arial Narrow" w:cs="Arial"/>
          <w:color w:val="7F7F7F" w:themeColor="text1" w:themeTint="80"/>
          <w:sz w:val="20"/>
          <w:szCs w:val="20"/>
        </w:rPr>
      </w:pPr>
      <w:r w:rsidRPr="00326847">
        <w:rPr>
          <w:rFonts w:ascii="Arial Narrow" w:hAnsi="Arial Narrow" w:cs="Arial"/>
          <w:color w:val="7F7F7F" w:themeColor="text1" w:themeTint="80"/>
          <w:sz w:val="20"/>
          <w:szCs w:val="20"/>
        </w:rPr>
        <w:t xml:space="preserve">Pomoći temeljem prijenosa </w:t>
      </w:r>
      <w:r>
        <w:rPr>
          <w:rFonts w:ascii="Arial Narrow" w:hAnsi="Arial Narrow" w:cs="Arial"/>
          <w:color w:val="7F7F7F" w:themeColor="text1" w:themeTint="80"/>
          <w:sz w:val="20"/>
          <w:szCs w:val="20"/>
        </w:rPr>
        <w:t xml:space="preserve">EU </w:t>
      </w:r>
      <w:r w:rsidRPr="00326847">
        <w:rPr>
          <w:rFonts w:ascii="Arial Narrow" w:hAnsi="Arial Narrow" w:cs="Arial"/>
          <w:color w:val="7F7F7F" w:themeColor="text1" w:themeTint="80"/>
          <w:sz w:val="20"/>
          <w:szCs w:val="20"/>
        </w:rPr>
        <w:t>sredstava</w:t>
      </w:r>
    </w:p>
    <w:p w14:paraId="6E0A31EF" w14:textId="3B134A51"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Tekuće pomoći iz državnog proračuna temeljem prijenosa EU sredstava</w:t>
      </w:r>
      <w:r w:rsidR="00326847">
        <w:rPr>
          <w:rFonts w:ascii="Arial Narrow" w:hAnsi="Arial Narrow" w:cs="Arial"/>
          <w:sz w:val="20"/>
          <w:szCs w:val="20"/>
        </w:rPr>
        <w:t xml:space="preserve">- </w:t>
      </w:r>
      <w:r w:rsidRPr="00DD6FD2">
        <w:rPr>
          <w:rFonts w:ascii="Arial Narrow" w:hAnsi="Arial Narrow" w:cs="Arial"/>
          <w:sz w:val="20"/>
          <w:szCs w:val="20"/>
        </w:rPr>
        <w:t>Program zaželi i ostvari</w:t>
      </w:r>
    </w:p>
    <w:p w14:paraId="027B8E0E" w14:textId="7777777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Kapitalne pomoći iz državnog proračuna-</w:t>
      </w:r>
      <w:proofErr w:type="spellStart"/>
      <w:r w:rsidRPr="00DD6FD2">
        <w:rPr>
          <w:rFonts w:ascii="Arial Narrow" w:hAnsi="Arial Narrow" w:cs="Arial"/>
          <w:sz w:val="20"/>
          <w:szCs w:val="20"/>
        </w:rPr>
        <w:t>MRRFEu</w:t>
      </w:r>
      <w:proofErr w:type="spellEnd"/>
      <w:r w:rsidRPr="00DD6FD2">
        <w:rPr>
          <w:rFonts w:ascii="Arial Narrow" w:hAnsi="Arial Narrow" w:cs="Arial"/>
          <w:sz w:val="20"/>
          <w:szCs w:val="20"/>
        </w:rPr>
        <w:t>- za Tržnicu</w:t>
      </w:r>
    </w:p>
    <w:p w14:paraId="59057165" w14:textId="7D02F4A0" w:rsidR="00DD6FD2" w:rsidRPr="00DD6FD2" w:rsidRDefault="0008348A" w:rsidP="00DD6FD2">
      <w:pPr>
        <w:spacing w:after="0"/>
        <w:rPr>
          <w:rFonts w:ascii="Arial Narrow" w:hAnsi="Arial Narrow" w:cs="Arial"/>
          <w:sz w:val="20"/>
          <w:szCs w:val="20"/>
        </w:rPr>
      </w:pPr>
      <w:r w:rsidRPr="0008348A">
        <w:rPr>
          <w:rFonts w:ascii="Arial Narrow" w:hAnsi="Arial Narrow" w:cs="Arial"/>
          <w:sz w:val="20"/>
          <w:szCs w:val="20"/>
        </w:rPr>
        <w:t xml:space="preserve">Kapitalne pomoći iz državnog proračuna </w:t>
      </w:r>
      <w:r>
        <w:rPr>
          <w:rFonts w:ascii="Arial Narrow" w:hAnsi="Arial Narrow" w:cs="Arial"/>
          <w:sz w:val="20"/>
          <w:szCs w:val="20"/>
        </w:rPr>
        <w:t xml:space="preserve"> </w:t>
      </w:r>
      <w:r w:rsidR="00DD6FD2" w:rsidRPr="00DD6FD2">
        <w:rPr>
          <w:rFonts w:ascii="Arial Narrow" w:hAnsi="Arial Narrow" w:cs="Arial"/>
          <w:sz w:val="20"/>
          <w:szCs w:val="20"/>
        </w:rPr>
        <w:t>Ministarstvo poljoprivrede</w:t>
      </w:r>
      <w:r w:rsidR="00326847">
        <w:rPr>
          <w:rFonts w:ascii="Arial Narrow" w:hAnsi="Arial Narrow" w:cs="Arial"/>
          <w:sz w:val="20"/>
          <w:szCs w:val="20"/>
        </w:rPr>
        <w:t xml:space="preserve">-Agencija za plaćanje </w:t>
      </w:r>
      <w:r w:rsidR="00DD6FD2" w:rsidRPr="00DD6FD2">
        <w:rPr>
          <w:rFonts w:ascii="Arial Narrow" w:hAnsi="Arial Narrow" w:cs="Arial"/>
          <w:sz w:val="20"/>
          <w:szCs w:val="20"/>
        </w:rPr>
        <w:t xml:space="preserve">  (LAG Moslavina)Uređenje kuhinje u DD </w:t>
      </w:r>
      <w:proofErr w:type="spellStart"/>
      <w:r w:rsidR="00DD6FD2" w:rsidRPr="00DD6FD2">
        <w:rPr>
          <w:rFonts w:ascii="Arial Narrow" w:hAnsi="Arial Narrow" w:cs="Arial"/>
          <w:sz w:val="20"/>
          <w:szCs w:val="20"/>
        </w:rPr>
        <w:t>Krivaj</w:t>
      </w:r>
      <w:proofErr w:type="spellEnd"/>
    </w:p>
    <w:p w14:paraId="40DC2661" w14:textId="60F374F1"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 xml:space="preserve">Kapitalne pomoći iz državnog proračuna MZOM- izgradnja </w:t>
      </w:r>
      <w:r w:rsidR="0008348A">
        <w:rPr>
          <w:rFonts w:ascii="Arial Narrow" w:hAnsi="Arial Narrow" w:cs="Arial"/>
          <w:sz w:val="20"/>
          <w:szCs w:val="20"/>
        </w:rPr>
        <w:t xml:space="preserve">dječjeg </w:t>
      </w:r>
      <w:r w:rsidRPr="00DD6FD2">
        <w:rPr>
          <w:rFonts w:ascii="Arial Narrow" w:hAnsi="Arial Narrow" w:cs="Arial"/>
          <w:sz w:val="20"/>
          <w:szCs w:val="20"/>
        </w:rPr>
        <w:t>vrtića</w:t>
      </w:r>
    </w:p>
    <w:p w14:paraId="58B93D4A" w14:textId="396EF688"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Kapitalne pomoći iz državnog proračuna</w:t>
      </w:r>
      <w:r w:rsidR="00326847">
        <w:rPr>
          <w:rFonts w:ascii="Arial Narrow" w:hAnsi="Arial Narrow" w:cs="Arial"/>
          <w:sz w:val="20"/>
          <w:szCs w:val="20"/>
        </w:rPr>
        <w:t xml:space="preserve"> </w:t>
      </w:r>
      <w:r w:rsidRPr="00DD6FD2">
        <w:rPr>
          <w:rFonts w:ascii="Arial Narrow" w:hAnsi="Arial Narrow" w:cs="Arial"/>
          <w:sz w:val="20"/>
          <w:szCs w:val="20"/>
        </w:rPr>
        <w:t>MRRFEU - za nadstrešnicu u parku</w:t>
      </w:r>
    </w:p>
    <w:p w14:paraId="557128DB" w14:textId="646C82C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 xml:space="preserve">Kapitalne pomoći EU- </w:t>
      </w:r>
      <w:r w:rsidR="0008348A">
        <w:rPr>
          <w:rFonts w:ascii="Arial Narrow" w:hAnsi="Arial Narrow" w:cs="Arial"/>
          <w:sz w:val="20"/>
          <w:szCs w:val="20"/>
        </w:rPr>
        <w:t xml:space="preserve">NPOO </w:t>
      </w:r>
      <w:r w:rsidRPr="00DD6FD2">
        <w:rPr>
          <w:rFonts w:ascii="Arial Narrow" w:hAnsi="Arial Narrow" w:cs="Arial"/>
          <w:sz w:val="20"/>
          <w:szCs w:val="20"/>
        </w:rPr>
        <w:t>Projekt Izgradnja Dječjeg vrtića</w:t>
      </w:r>
    </w:p>
    <w:p w14:paraId="713945C1" w14:textId="77777777" w:rsidR="00DD6FD2" w:rsidRPr="00DD6FD2" w:rsidRDefault="00DD6FD2" w:rsidP="00DD6FD2">
      <w:pPr>
        <w:spacing w:after="0"/>
        <w:rPr>
          <w:rFonts w:ascii="Arial Narrow" w:hAnsi="Arial Narrow" w:cs="Arial"/>
          <w:sz w:val="20"/>
          <w:szCs w:val="20"/>
        </w:rPr>
      </w:pPr>
      <w:r w:rsidRPr="00DD6FD2">
        <w:rPr>
          <w:rFonts w:ascii="Arial Narrow" w:hAnsi="Arial Narrow" w:cs="Arial"/>
          <w:sz w:val="20"/>
          <w:szCs w:val="20"/>
        </w:rPr>
        <w:t>Kapitalne pomoći iz državnog proračuna temeljem prijenosa EU sredstava-DVD i VZO</w:t>
      </w:r>
    </w:p>
    <w:p w14:paraId="3BC25DF1" w14:textId="3D35E20B" w:rsidR="00330ABA" w:rsidRDefault="00DD6FD2" w:rsidP="00DD6FD2">
      <w:pPr>
        <w:spacing w:after="0"/>
        <w:rPr>
          <w:rFonts w:ascii="Arial Narrow" w:hAnsi="Arial Narrow" w:cs="Arial"/>
          <w:sz w:val="20"/>
          <w:szCs w:val="20"/>
        </w:rPr>
      </w:pPr>
      <w:r w:rsidRPr="00DD6FD2">
        <w:rPr>
          <w:rFonts w:ascii="Arial Narrow" w:hAnsi="Arial Narrow" w:cs="Arial"/>
          <w:sz w:val="20"/>
          <w:szCs w:val="20"/>
        </w:rPr>
        <w:t xml:space="preserve">Kapitalne pomoći-Projekt </w:t>
      </w:r>
      <w:proofErr w:type="spellStart"/>
      <w:r w:rsidRPr="00DD6FD2">
        <w:rPr>
          <w:rFonts w:ascii="Arial Narrow" w:hAnsi="Arial Narrow" w:cs="Arial"/>
          <w:sz w:val="20"/>
          <w:szCs w:val="20"/>
        </w:rPr>
        <w:t>Tenina</w:t>
      </w:r>
      <w:proofErr w:type="spellEnd"/>
      <w:r w:rsidRPr="00DD6FD2">
        <w:rPr>
          <w:rFonts w:ascii="Arial Narrow" w:hAnsi="Arial Narrow" w:cs="Arial"/>
          <w:sz w:val="20"/>
          <w:szCs w:val="20"/>
        </w:rPr>
        <w:t xml:space="preserve"> staza</w:t>
      </w:r>
    </w:p>
    <w:p w14:paraId="6EC5444E" w14:textId="77777777" w:rsidR="00326847" w:rsidRDefault="00326847" w:rsidP="008E79CF">
      <w:pPr>
        <w:rPr>
          <w:rFonts w:ascii="Arial Narrow" w:hAnsi="Arial Narrow" w:cs="Arial"/>
          <w:sz w:val="20"/>
          <w:szCs w:val="20"/>
        </w:rPr>
      </w:pPr>
    </w:p>
    <w:p w14:paraId="0B23E049" w14:textId="77777777" w:rsidR="006C5AC3" w:rsidRDefault="006C5AC3" w:rsidP="008E79CF">
      <w:pPr>
        <w:rPr>
          <w:rFonts w:ascii="Arial Narrow" w:hAnsi="Arial Narrow" w:cs="Arial"/>
          <w:sz w:val="20"/>
          <w:szCs w:val="20"/>
        </w:rPr>
      </w:pPr>
    </w:p>
    <w:tbl>
      <w:tblPr>
        <w:tblStyle w:val="Svijetlatablicareetke-isticanje1"/>
        <w:tblW w:w="9744" w:type="dxa"/>
        <w:tblLook w:val="04A0" w:firstRow="1" w:lastRow="0" w:firstColumn="1" w:lastColumn="0" w:noHBand="0" w:noVBand="1"/>
      </w:tblPr>
      <w:tblGrid>
        <w:gridCol w:w="1944"/>
        <w:gridCol w:w="5353"/>
        <w:gridCol w:w="2447"/>
      </w:tblGrid>
      <w:tr w:rsidR="006C5AC3" w:rsidRPr="006C5AC3" w14:paraId="237883C8" w14:textId="77777777" w:rsidTr="006C5AC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7A5C68CC"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w:t>
            </w:r>
          </w:p>
        </w:tc>
        <w:tc>
          <w:tcPr>
            <w:tcW w:w="5353" w:type="dxa"/>
            <w:hideMark/>
          </w:tcPr>
          <w:p w14:paraId="462D63C1" w14:textId="77777777" w:rsidR="006C5AC3" w:rsidRPr="006C5AC3" w:rsidRDefault="006C5AC3" w:rsidP="006C5AC3">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POMOĆI</w:t>
            </w:r>
          </w:p>
        </w:tc>
        <w:tc>
          <w:tcPr>
            <w:tcW w:w="2447" w:type="dxa"/>
            <w:hideMark/>
          </w:tcPr>
          <w:p w14:paraId="5658B083" w14:textId="77777777" w:rsidR="006C5AC3" w:rsidRPr="006C5AC3" w:rsidRDefault="006C5AC3" w:rsidP="006C5AC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4.229.364,00</w:t>
            </w:r>
          </w:p>
        </w:tc>
      </w:tr>
      <w:tr w:rsidR="006C5AC3" w:rsidRPr="006C5AC3" w14:paraId="67CEB06D"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6164629A"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w:t>
            </w:r>
          </w:p>
        </w:tc>
        <w:tc>
          <w:tcPr>
            <w:tcW w:w="5353" w:type="dxa"/>
            <w:hideMark/>
          </w:tcPr>
          <w:p w14:paraId="63278AB4" w14:textId="4B8091BE"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Pomoći iz drugih proračuna</w:t>
            </w:r>
          </w:p>
        </w:tc>
        <w:tc>
          <w:tcPr>
            <w:tcW w:w="2447" w:type="dxa"/>
            <w:hideMark/>
          </w:tcPr>
          <w:p w14:paraId="7F0116A5"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548.093,00</w:t>
            </w:r>
          </w:p>
        </w:tc>
      </w:tr>
      <w:tr w:rsidR="006C5AC3" w:rsidRPr="006C5AC3" w14:paraId="709EA0A3"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7F53226E"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5.0.1</w:t>
            </w:r>
          </w:p>
        </w:tc>
        <w:tc>
          <w:tcPr>
            <w:tcW w:w="5353" w:type="dxa"/>
            <w:hideMark/>
          </w:tcPr>
          <w:p w14:paraId="335CD830"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Kapitalne pomoći iz državnog proračuna</w:t>
            </w:r>
          </w:p>
        </w:tc>
        <w:tc>
          <w:tcPr>
            <w:tcW w:w="2447" w:type="dxa"/>
            <w:hideMark/>
          </w:tcPr>
          <w:p w14:paraId="0BDE7797"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400.000,00</w:t>
            </w:r>
          </w:p>
        </w:tc>
      </w:tr>
      <w:tr w:rsidR="006C5AC3" w:rsidRPr="006C5AC3" w14:paraId="53FB4638"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108583AE"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5.0.2</w:t>
            </w:r>
          </w:p>
        </w:tc>
        <w:tc>
          <w:tcPr>
            <w:tcW w:w="5353" w:type="dxa"/>
            <w:hideMark/>
          </w:tcPr>
          <w:p w14:paraId="6D19646E"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Kapitalne pomoći iz državnog proračuna za PK</w:t>
            </w:r>
          </w:p>
        </w:tc>
        <w:tc>
          <w:tcPr>
            <w:tcW w:w="2447" w:type="dxa"/>
            <w:hideMark/>
          </w:tcPr>
          <w:p w14:paraId="022EAEF9"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7.000,00</w:t>
            </w:r>
          </w:p>
        </w:tc>
      </w:tr>
      <w:tr w:rsidR="006C5AC3" w:rsidRPr="006C5AC3" w14:paraId="5F98B8C4"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69C1C249"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5.0.3</w:t>
            </w:r>
          </w:p>
        </w:tc>
        <w:tc>
          <w:tcPr>
            <w:tcW w:w="5353" w:type="dxa"/>
            <w:hideMark/>
          </w:tcPr>
          <w:p w14:paraId="49476999"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Tekuće pomoći iz državnog proračuna</w:t>
            </w:r>
          </w:p>
        </w:tc>
        <w:tc>
          <w:tcPr>
            <w:tcW w:w="2447" w:type="dxa"/>
            <w:hideMark/>
          </w:tcPr>
          <w:p w14:paraId="53AAEED1"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54.454,00</w:t>
            </w:r>
          </w:p>
        </w:tc>
      </w:tr>
      <w:tr w:rsidR="006C5AC3" w:rsidRPr="006C5AC3" w14:paraId="02688D77"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00F5262D"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5.0.4</w:t>
            </w:r>
          </w:p>
        </w:tc>
        <w:tc>
          <w:tcPr>
            <w:tcW w:w="5353" w:type="dxa"/>
            <w:hideMark/>
          </w:tcPr>
          <w:p w14:paraId="57C64032"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Tekuće pomoći iz državnog proračuna za PK</w:t>
            </w:r>
          </w:p>
        </w:tc>
        <w:tc>
          <w:tcPr>
            <w:tcW w:w="2447" w:type="dxa"/>
            <w:hideMark/>
          </w:tcPr>
          <w:p w14:paraId="6B99B2AD"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1.926,00</w:t>
            </w:r>
          </w:p>
        </w:tc>
      </w:tr>
      <w:tr w:rsidR="006C5AC3" w:rsidRPr="006C5AC3" w14:paraId="02F0BD49"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0007B007"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5.0.5</w:t>
            </w:r>
          </w:p>
        </w:tc>
        <w:tc>
          <w:tcPr>
            <w:tcW w:w="5353" w:type="dxa"/>
            <w:hideMark/>
          </w:tcPr>
          <w:p w14:paraId="41F8ACF3"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Tekuće pomoći iz državnog proračuna FODV</w:t>
            </w:r>
          </w:p>
        </w:tc>
        <w:tc>
          <w:tcPr>
            <w:tcW w:w="2447" w:type="dxa"/>
            <w:hideMark/>
          </w:tcPr>
          <w:p w14:paraId="7C0FBDC9"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74.982,00</w:t>
            </w:r>
          </w:p>
        </w:tc>
      </w:tr>
      <w:tr w:rsidR="006C5AC3" w:rsidRPr="006C5AC3" w14:paraId="221AA8DD"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689A5755"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5.0.6</w:t>
            </w:r>
          </w:p>
        </w:tc>
        <w:tc>
          <w:tcPr>
            <w:tcW w:w="5353" w:type="dxa"/>
            <w:hideMark/>
          </w:tcPr>
          <w:p w14:paraId="04155278"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Tekuće pomoći iz županijskog proračuna</w:t>
            </w:r>
          </w:p>
        </w:tc>
        <w:tc>
          <w:tcPr>
            <w:tcW w:w="2447" w:type="dxa"/>
            <w:hideMark/>
          </w:tcPr>
          <w:p w14:paraId="41097001"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9.731,00</w:t>
            </w:r>
          </w:p>
        </w:tc>
      </w:tr>
      <w:tr w:rsidR="006C5AC3" w:rsidRPr="006C5AC3" w14:paraId="2BF382DD"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73CCD93C"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5.1.</w:t>
            </w:r>
          </w:p>
        </w:tc>
        <w:tc>
          <w:tcPr>
            <w:tcW w:w="5353" w:type="dxa"/>
            <w:hideMark/>
          </w:tcPr>
          <w:p w14:paraId="14B6C06C" w14:textId="00BCCC09"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Pomoći od izvanproračunskih korisnika</w:t>
            </w:r>
          </w:p>
        </w:tc>
        <w:tc>
          <w:tcPr>
            <w:tcW w:w="2447" w:type="dxa"/>
            <w:hideMark/>
          </w:tcPr>
          <w:p w14:paraId="420098D2"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499.000,00</w:t>
            </w:r>
          </w:p>
        </w:tc>
      </w:tr>
      <w:tr w:rsidR="006C5AC3" w:rsidRPr="006C5AC3" w14:paraId="6869BFD8"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37F01235"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5.1.0</w:t>
            </w:r>
          </w:p>
        </w:tc>
        <w:tc>
          <w:tcPr>
            <w:tcW w:w="5353" w:type="dxa"/>
            <w:hideMark/>
          </w:tcPr>
          <w:p w14:paraId="0FF73E65"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Kapitalne pomoći od izvanproračunskih korisnika</w:t>
            </w:r>
          </w:p>
        </w:tc>
        <w:tc>
          <w:tcPr>
            <w:tcW w:w="2447" w:type="dxa"/>
            <w:hideMark/>
          </w:tcPr>
          <w:p w14:paraId="1B215294"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475.000,00</w:t>
            </w:r>
          </w:p>
        </w:tc>
      </w:tr>
      <w:tr w:rsidR="006C5AC3" w:rsidRPr="006C5AC3" w14:paraId="580668CA"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3BF1B7A2"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5.1.1</w:t>
            </w:r>
          </w:p>
        </w:tc>
        <w:tc>
          <w:tcPr>
            <w:tcW w:w="5353" w:type="dxa"/>
            <w:hideMark/>
          </w:tcPr>
          <w:p w14:paraId="431E867C"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Tekuće pomoći od izvanproračunskih korisnika</w:t>
            </w:r>
          </w:p>
        </w:tc>
        <w:tc>
          <w:tcPr>
            <w:tcW w:w="2447" w:type="dxa"/>
            <w:hideMark/>
          </w:tcPr>
          <w:p w14:paraId="051A2B93"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24.000,00</w:t>
            </w:r>
          </w:p>
        </w:tc>
      </w:tr>
      <w:tr w:rsidR="006C5AC3" w:rsidRPr="006C5AC3" w14:paraId="7754A0D1"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08EEE4AE"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5.2.</w:t>
            </w:r>
          </w:p>
        </w:tc>
        <w:tc>
          <w:tcPr>
            <w:tcW w:w="5353" w:type="dxa"/>
            <w:hideMark/>
          </w:tcPr>
          <w:p w14:paraId="4FC78BC6" w14:textId="2DE72FF4"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Pomoći fiskalnog izravnanja</w:t>
            </w:r>
          </w:p>
        </w:tc>
        <w:tc>
          <w:tcPr>
            <w:tcW w:w="2447" w:type="dxa"/>
            <w:hideMark/>
          </w:tcPr>
          <w:p w14:paraId="354A1D59"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506.004,00</w:t>
            </w:r>
          </w:p>
        </w:tc>
      </w:tr>
      <w:tr w:rsidR="006C5AC3" w:rsidRPr="006C5AC3" w14:paraId="02952E97"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04AA68B1"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5.2.9</w:t>
            </w:r>
          </w:p>
        </w:tc>
        <w:tc>
          <w:tcPr>
            <w:tcW w:w="5353" w:type="dxa"/>
            <w:hideMark/>
          </w:tcPr>
          <w:p w14:paraId="187EFE08" w14:textId="7777777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Višak prihoda iz prethodnog razdoblja</w:t>
            </w:r>
          </w:p>
        </w:tc>
        <w:tc>
          <w:tcPr>
            <w:tcW w:w="2447" w:type="dxa"/>
            <w:hideMark/>
          </w:tcPr>
          <w:p w14:paraId="5AE4476E"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71.189,00</w:t>
            </w:r>
          </w:p>
        </w:tc>
      </w:tr>
      <w:tr w:rsidR="006C5AC3" w:rsidRPr="006C5AC3" w14:paraId="3B73D541" w14:textId="77777777" w:rsidTr="006C5AC3">
        <w:trPr>
          <w:trHeight w:val="288"/>
        </w:trPr>
        <w:tc>
          <w:tcPr>
            <w:cnfStyle w:val="001000000000" w:firstRow="0" w:lastRow="0" w:firstColumn="1" w:lastColumn="0" w:oddVBand="0" w:evenVBand="0" w:oddHBand="0" w:evenHBand="0" w:firstRowFirstColumn="0" w:firstRowLastColumn="0" w:lastRowFirstColumn="0" w:lastRowLastColumn="0"/>
            <w:tcW w:w="1944" w:type="dxa"/>
            <w:hideMark/>
          </w:tcPr>
          <w:p w14:paraId="3029125A"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5.3.</w:t>
            </w:r>
          </w:p>
        </w:tc>
        <w:tc>
          <w:tcPr>
            <w:tcW w:w="5353" w:type="dxa"/>
            <w:hideMark/>
          </w:tcPr>
          <w:p w14:paraId="32B1C2B7" w14:textId="7743ED87"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 xml:space="preserve">Pomoći temeljem prijenosa </w:t>
            </w:r>
            <w:r w:rsidR="00942898" w:rsidRPr="006A14FF">
              <w:rPr>
                <w:rFonts w:ascii="Arial" w:eastAsia="Times New Roman" w:hAnsi="Arial" w:cs="Arial"/>
                <w:color w:val="000000"/>
                <w:sz w:val="18"/>
                <w:szCs w:val="18"/>
                <w:lang w:eastAsia="hr-HR"/>
              </w:rPr>
              <w:t xml:space="preserve">EU </w:t>
            </w:r>
            <w:r w:rsidRPr="006A14FF">
              <w:rPr>
                <w:rFonts w:ascii="Arial" w:eastAsia="Times New Roman" w:hAnsi="Arial" w:cs="Arial"/>
                <w:color w:val="000000"/>
                <w:sz w:val="18"/>
                <w:szCs w:val="18"/>
                <w:lang w:eastAsia="hr-HR"/>
              </w:rPr>
              <w:t>sredstava</w:t>
            </w:r>
          </w:p>
        </w:tc>
        <w:tc>
          <w:tcPr>
            <w:tcW w:w="2447" w:type="dxa"/>
            <w:hideMark/>
          </w:tcPr>
          <w:p w14:paraId="6887C3EA"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2.676.267,00</w:t>
            </w:r>
          </w:p>
        </w:tc>
      </w:tr>
      <w:tr w:rsidR="006C5AC3" w:rsidRPr="006C5AC3" w14:paraId="712DC46D" w14:textId="77777777" w:rsidTr="006C5AC3">
        <w:trPr>
          <w:trHeight w:val="462"/>
        </w:trPr>
        <w:tc>
          <w:tcPr>
            <w:cnfStyle w:val="001000000000" w:firstRow="0" w:lastRow="0" w:firstColumn="1" w:lastColumn="0" w:oddVBand="0" w:evenVBand="0" w:oddHBand="0" w:evenHBand="0" w:firstRowFirstColumn="0" w:firstRowLastColumn="0" w:lastRowFirstColumn="0" w:lastRowLastColumn="0"/>
            <w:tcW w:w="1944" w:type="dxa"/>
            <w:hideMark/>
          </w:tcPr>
          <w:p w14:paraId="65C8F202"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5.3.0</w:t>
            </w:r>
          </w:p>
        </w:tc>
        <w:tc>
          <w:tcPr>
            <w:tcW w:w="5353" w:type="dxa"/>
            <w:hideMark/>
          </w:tcPr>
          <w:p w14:paraId="68F916EF" w14:textId="03FC3A79"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 xml:space="preserve">Tekuće pomoći iz </w:t>
            </w:r>
            <w:proofErr w:type="spellStart"/>
            <w:r w:rsidRPr="006C5AC3">
              <w:rPr>
                <w:rFonts w:ascii="Arial" w:eastAsia="Times New Roman" w:hAnsi="Arial" w:cs="Arial"/>
                <w:color w:val="000000"/>
                <w:sz w:val="18"/>
                <w:szCs w:val="18"/>
                <w:lang w:eastAsia="hr-HR"/>
              </w:rPr>
              <w:t>drž</w:t>
            </w:r>
            <w:proofErr w:type="spellEnd"/>
            <w:r w:rsidRPr="006C5AC3">
              <w:rPr>
                <w:rFonts w:ascii="Arial" w:eastAsia="Times New Roman" w:hAnsi="Arial" w:cs="Arial"/>
                <w:color w:val="000000"/>
                <w:sz w:val="18"/>
                <w:szCs w:val="18"/>
                <w:lang w:eastAsia="hr-HR"/>
              </w:rPr>
              <w:t>.</w:t>
            </w:r>
            <w:r w:rsidR="00942898" w:rsidRPr="006A14FF">
              <w:rPr>
                <w:rFonts w:ascii="Arial" w:eastAsia="Times New Roman" w:hAnsi="Arial" w:cs="Arial"/>
                <w:color w:val="000000"/>
                <w:sz w:val="18"/>
                <w:szCs w:val="18"/>
                <w:lang w:eastAsia="hr-HR"/>
              </w:rPr>
              <w:t xml:space="preserve"> </w:t>
            </w:r>
            <w:r w:rsidRPr="006C5AC3">
              <w:rPr>
                <w:rFonts w:ascii="Arial" w:eastAsia="Times New Roman" w:hAnsi="Arial" w:cs="Arial"/>
                <w:color w:val="000000"/>
                <w:sz w:val="18"/>
                <w:szCs w:val="18"/>
                <w:lang w:eastAsia="hr-HR"/>
              </w:rPr>
              <w:t>proračuna temeljem prijenosa EU sred</w:t>
            </w:r>
          </w:p>
        </w:tc>
        <w:tc>
          <w:tcPr>
            <w:tcW w:w="2447" w:type="dxa"/>
            <w:hideMark/>
          </w:tcPr>
          <w:p w14:paraId="36F1B15B"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229.500,00</w:t>
            </w:r>
          </w:p>
        </w:tc>
      </w:tr>
      <w:tr w:rsidR="006C5AC3" w:rsidRPr="006C5AC3" w14:paraId="3D1AAD6D" w14:textId="77777777" w:rsidTr="006C5AC3">
        <w:trPr>
          <w:trHeight w:val="462"/>
        </w:trPr>
        <w:tc>
          <w:tcPr>
            <w:cnfStyle w:val="001000000000" w:firstRow="0" w:lastRow="0" w:firstColumn="1" w:lastColumn="0" w:oddVBand="0" w:evenVBand="0" w:oddHBand="0" w:evenHBand="0" w:firstRowFirstColumn="0" w:firstRowLastColumn="0" w:lastRowFirstColumn="0" w:lastRowLastColumn="0"/>
            <w:tcW w:w="1944" w:type="dxa"/>
            <w:hideMark/>
          </w:tcPr>
          <w:p w14:paraId="03D577AC" w14:textId="77777777" w:rsidR="006C5AC3" w:rsidRPr="006C5AC3" w:rsidRDefault="006C5AC3" w:rsidP="006C5AC3">
            <w:pPr>
              <w:spacing w:after="0" w:line="240" w:lineRule="auto"/>
              <w:rPr>
                <w:rFonts w:ascii="Arial" w:eastAsia="Times New Roman" w:hAnsi="Arial" w:cs="Arial"/>
                <w:b w:val="0"/>
                <w:bCs w:val="0"/>
                <w:color w:val="000000"/>
                <w:sz w:val="18"/>
                <w:szCs w:val="18"/>
                <w:lang w:eastAsia="hr-HR"/>
              </w:rPr>
            </w:pPr>
            <w:r w:rsidRPr="006C5AC3">
              <w:rPr>
                <w:rFonts w:ascii="Arial" w:eastAsia="Times New Roman" w:hAnsi="Arial" w:cs="Arial"/>
                <w:b w:val="0"/>
                <w:bCs w:val="0"/>
                <w:color w:val="000000"/>
                <w:sz w:val="18"/>
                <w:szCs w:val="18"/>
                <w:lang w:eastAsia="hr-HR"/>
              </w:rPr>
              <w:t>Izvor   5.3.1</w:t>
            </w:r>
          </w:p>
        </w:tc>
        <w:tc>
          <w:tcPr>
            <w:tcW w:w="5353" w:type="dxa"/>
            <w:hideMark/>
          </w:tcPr>
          <w:p w14:paraId="2F5CAE85" w14:textId="169A63CD" w:rsidR="006C5AC3" w:rsidRPr="006C5AC3" w:rsidRDefault="006C5AC3" w:rsidP="006C5AC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 xml:space="preserve">Kapitalne pomoći iz </w:t>
            </w:r>
            <w:proofErr w:type="spellStart"/>
            <w:r w:rsidRPr="006C5AC3">
              <w:rPr>
                <w:rFonts w:ascii="Arial" w:eastAsia="Times New Roman" w:hAnsi="Arial" w:cs="Arial"/>
                <w:color w:val="000000"/>
                <w:sz w:val="18"/>
                <w:szCs w:val="18"/>
                <w:lang w:eastAsia="hr-HR"/>
              </w:rPr>
              <w:t>drž</w:t>
            </w:r>
            <w:proofErr w:type="spellEnd"/>
            <w:r w:rsidRPr="006C5AC3">
              <w:rPr>
                <w:rFonts w:ascii="Arial" w:eastAsia="Times New Roman" w:hAnsi="Arial" w:cs="Arial"/>
                <w:color w:val="000000"/>
                <w:sz w:val="18"/>
                <w:szCs w:val="18"/>
                <w:lang w:eastAsia="hr-HR"/>
              </w:rPr>
              <w:t>.</w:t>
            </w:r>
            <w:r w:rsidR="007A049C" w:rsidRPr="006A14FF">
              <w:rPr>
                <w:rFonts w:ascii="Arial" w:eastAsia="Times New Roman" w:hAnsi="Arial" w:cs="Arial"/>
                <w:color w:val="000000"/>
                <w:sz w:val="18"/>
                <w:szCs w:val="18"/>
                <w:lang w:eastAsia="hr-HR"/>
              </w:rPr>
              <w:t xml:space="preserve"> </w:t>
            </w:r>
            <w:r w:rsidRPr="006C5AC3">
              <w:rPr>
                <w:rFonts w:ascii="Arial" w:eastAsia="Times New Roman" w:hAnsi="Arial" w:cs="Arial"/>
                <w:color w:val="000000"/>
                <w:sz w:val="18"/>
                <w:szCs w:val="18"/>
                <w:lang w:eastAsia="hr-HR"/>
              </w:rPr>
              <w:t>proračuna temeljem prijenosa EU sred</w:t>
            </w:r>
          </w:p>
        </w:tc>
        <w:tc>
          <w:tcPr>
            <w:tcW w:w="2447" w:type="dxa"/>
            <w:hideMark/>
          </w:tcPr>
          <w:p w14:paraId="119FDE2A" w14:textId="77777777" w:rsidR="006C5AC3" w:rsidRPr="006C5AC3" w:rsidRDefault="006C5AC3" w:rsidP="006C5A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C5AC3">
              <w:rPr>
                <w:rFonts w:ascii="Arial" w:eastAsia="Times New Roman" w:hAnsi="Arial" w:cs="Arial"/>
                <w:color w:val="000000"/>
                <w:sz w:val="18"/>
                <w:szCs w:val="18"/>
                <w:lang w:eastAsia="hr-HR"/>
              </w:rPr>
              <w:t>2.446.767,00</w:t>
            </w:r>
          </w:p>
        </w:tc>
      </w:tr>
    </w:tbl>
    <w:p w14:paraId="2C01B485" w14:textId="75402AB6" w:rsidR="008E79CF" w:rsidRDefault="008E79CF" w:rsidP="008E79CF">
      <w:pPr>
        <w:rPr>
          <w:rFonts w:ascii="Arial Narrow" w:hAnsi="Arial Narrow" w:cs="Arial"/>
          <w:sz w:val="20"/>
          <w:szCs w:val="20"/>
        </w:rPr>
      </w:pPr>
    </w:p>
    <w:p w14:paraId="0FBA9E44" w14:textId="2672A7B4" w:rsidR="007A049C" w:rsidRDefault="007A049C" w:rsidP="008E79CF">
      <w:pPr>
        <w:rPr>
          <w:rFonts w:ascii="Arial Narrow" w:hAnsi="Arial Narrow" w:cs="Arial"/>
          <w:sz w:val="20"/>
          <w:szCs w:val="20"/>
        </w:rPr>
      </w:pPr>
      <w:r>
        <w:rPr>
          <w:rFonts w:ascii="Arial Narrow" w:hAnsi="Arial Narrow" w:cs="Arial"/>
          <w:sz w:val="20"/>
          <w:szCs w:val="20"/>
        </w:rPr>
        <w:t>Prihod od donacija se odnosi na pravne osobe koje doniraju za manifestaciju LS.</w:t>
      </w:r>
    </w:p>
    <w:tbl>
      <w:tblPr>
        <w:tblStyle w:val="Svijetlatablicareetke-isticanje1"/>
        <w:tblW w:w="9819" w:type="dxa"/>
        <w:tblLook w:val="04A0" w:firstRow="1" w:lastRow="0" w:firstColumn="1" w:lastColumn="0" w:noHBand="0" w:noVBand="1"/>
      </w:tblPr>
      <w:tblGrid>
        <w:gridCol w:w="1959"/>
        <w:gridCol w:w="5394"/>
        <w:gridCol w:w="2466"/>
      </w:tblGrid>
      <w:tr w:rsidR="007A049C" w:rsidRPr="007A049C" w14:paraId="794E54F0" w14:textId="77777777" w:rsidTr="007A049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59" w:type="dxa"/>
            <w:hideMark/>
          </w:tcPr>
          <w:p w14:paraId="29ED078E" w14:textId="77777777" w:rsidR="007A049C" w:rsidRPr="007A049C" w:rsidRDefault="007A049C" w:rsidP="007A049C">
            <w:pPr>
              <w:spacing w:after="0" w:line="240" w:lineRule="auto"/>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Izvor   6.</w:t>
            </w:r>
          </w:p>
        </w:tc>
        <w:tc>
          <w:tcPr>
            <w:tcW w:w="5394" w:type="dxa"/>
            <w:hideMark/>
          </w:tcPr>
          <w:p w14:paraId="05478D42" w14:textId="77777777" w:rsidR="007A049C" w:rsidRPr="007A049C" w:rsidRDefault="007A049C" w:rsidP="007A049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DONACIJE</w:t>
            </w:r>
          </w:p>
        </w:tc>
        <w:tc>
          <w:tcPr>
            <w:tcW w:w="2466" w:type="dxa"/>
            <w:hideMark/>
          </w:tcPr>
          <w:p w14:paraId="2502D912" w14:textId="77777777" w:rsidR="007A049C" w:rsidRPr="007A049C" w:rsidRDefault="007A049C" w:rsidP="007A049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1.500,00</w:t>
            </w:r>
          </w:p>
        </w:tc>
      </w:tr>
      <w:tr w:rsidR="007A049C" w:rsidRPr="007A049C" w14:paraId="5AD42EC9" w14:textId="77777777" w:rsidTr="007A049C">
        <w:trPr>
          <w:trHeight w:val="441"/>
        </w:trPr>
        <w:tc>
          <w:tcPr>
            <w:cnfStyle w:val="001000000000" w:firstRow="0" w:lastRow="0" w:firstColumn="1" w:lastColumn="0" w:oddVBand="0" w:evenVBand="0" w:oddHBand="0" w:evenHBand="0" w:firstRowFirstColumn="0" w:firstRowLastColumn="0" w:lastRowFirstColumn="0" w:lastRowLastColumn="0"/>
            <w:tcW w:w="1959" w:type="dxa"/>
            <w:hideMark/>
          </w:tcPr>
          <w:p w14:paraId="4D1D6D61" w14:textId="77777777" w:rsidR="007A049C" w:rsidRPr="007A049C" w:rsidRDefault="007A049C" w:rsidP="007A049C">
            <w:pPr>
              <w:spacing w:after="0" w:line="240" w:lineRule="auto"/>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Izvor   6.1.</w:t>
            </w:r>
          </w:p>
        </w:tc>
        <w:tc>
          <w:tcPr>
            <w:tcW w:w="5394" w:type="dxa"/>
            <w:hideMark/>
          </w:tcPr>
          <w:p w14:paraId="7CF9F52E" w14:textId="333691AE" w:rsidR="007A049C" w:rsidRPr="007A049C" w:rsidRDefault="007A049C" w:rsidP="007A049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Donacije</w:t>
            </w:r>
          </w:p>
        </w:tc>
        <w:tc>
          <w:tcPr>
            <w:tcW w:w="2466" w:type="dxa"/>
            <w:hideMark/>
          </w:tcPr>
          <w:p w14:paraId="1C3FE8D7" w14:textId="77777777" w:rsidR="007A049C" w:rsidRPr="007A049C" w:rsidRDefault="007A049C" w:rsidP="007A049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A049C">
              <w:rPr>
                <w:rFonts w:ascii="Arial" w:eastAsia="Times New Roman" w:hAnsi="Arial" w:cs="Arial"/>
                <w:color w:val="000000"/>
                <w:sz w:val="18"/>
                <w:szCs w:val="18"/>
                <w:lang w:eastAsia="hr-HR"/>
              </w:rPr>
              <w:t>1.500,00</w:t>
            </w:r>
          </w:p>
        </w:tc>
      </w:tr>
    </w:tbl>
    <w:p w14:paraId="184B5D7C" w14:textId="79A5524A" w:rsidR="007A049C" w:rsidRDefault="001402BD" w:rsidP="008E79CF">
      <w:pPr>
        <w:rPr>
          <w:rFonts w:ascii="Arial Narrow" w:hAnsi="Arial Narrow" w:cs="Arial"/>
          <w:sz w:val="20"/>
          <w:szCs w:val="20"/>
        </w:rPr>
      </w:pPr>
      <w:r>
        <w:rPr>
          <w:rFonts w:ascii="Arial Narrow" w:hAnsi="Arial Narrow" w:cs="Arial"/>
          <w:sz w:val="20"/>
          <w:szCs w:val="20"/>
        </w:rPr>
        <w:t>Prihodi od prodaje nefinancijske imovine planiraju se za neizgrađeno građevinsko zemljište u Poduzetničkoj zoni</w:t>
      </w:r>
    </w:p>
    <w:tbl>
      <w:tblPr>
        <w:tblStyle w:val="Svijetlatablicareetke-isticanje1"/>
        <w:tblW w:w="9844" w:type="dxa"/>
        <w:tblLook w:val="04A0" w:firstRow="1" w:lastRow="0" w:firstColumn="1" w:lastColumn="0" w:noHBand="0" w:noVBand="1"/>
      </w:tblPr>
      <w:tblGrid>
        <w:gridCol w:w="1964"/>
        <w:gridCol w:w="5408"/>
        <w:gridCol w:w="2472"/>
      </w:tblGrid>
      <w:tr w:rsidR="007A049C" w:rsidRPr="007A049C" w14:paraId="743851C9" w14:textId="77777777" w:rsidTr="007A049C">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64" w:type="dxa"/>
            <w:hideMark/>
          </w:tcPr>
          <w:p w14:paraId="03684DEF" w14:textId="77777777" w:rsidR="007A049C" w:rsidRPr="007A049C" w:rsidRDefault="007A049C" w:rsidP="007A049C">
            <w:pPr>
              <w:spacing w:after="0" w:line="240" w:lineRule="auto"/>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Izvor   7.</w:t>
            </w:r>
          </w:p>
        </w:tc>
        <w:tc>
          <w:tcPr>
            <w:tcW w:w="5408" w:type="dxa"/>
            <w:hideMark/>
          </w:tcPr>
          <w:p w14:paraId="53828278" w14:textId="77777777" w:rsidR="007A049C" w:rsidRPr="007A049C" w:rsidRDefault="007A049C" w:rsidP="007A049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PRIHODI OD PRODAJE ILI ZAMJENE NEFINANCIIJSKE IMOVINE</w:t>
            </w:r>
          </w:p>
        </w:tc>
        <w:tc>
          <w:tcPr>
            <w:tcW w:w="2472" w:type="dxa"/>
            <w:hideMark/>
          </w:tcPr>
          <w:p w14:paraId="50D41BB8" w14:textId="77777777" w:rsidR="007A049C" w:rsidRPr="007A049C" w:rsidRDefault="007A049C" w:rsidP="007A049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10.000,00</w:t>
            </w:r>
          </w:p>
        </w:tc>
      </w:tr>
      <w:tr w:rsidR="007A049C" w:rsidRPr="007A049C" w14:paraId="693F0950" w14:textId="77777777" w:rsidTr="007A049C">
        <w:trPr>
          <w:trHeight w:val="689"/>
        </w:trPr>
        <w:tc>
          <w:tcPr>
            <w:cnfStyle w:val="001000000000" w:firstRow="0" w:lastRow="0" w:firstColumn="1" w:lastColumn="0" w:oddVBand="0" w:evenVBand="0" w:oddHBand="0" w:evenHBand="0" w:firstRowFirstColumn="0" w:firstRowLastColumn="0" w:lastRowFirstColumn="0" w:lastRowLastColumn="0"/>
            <w:tcW w:w="1964" w:type="dxa"/>
            <w:hideMark/>
          </w:tcPr>
          <w:p w14:paraId="2FA67419" w14:textId="77777777" w:rsidR="007A049C" w:rsidRPr="007A049C" w:rsidRDefault="007A049C" w:rsidP="007A049C">
            <w:pPr>
              <w:spacing w:after="0" w:line="240" w:lineRule="auto"/>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Izvor   7.0.</w:t>
            </w:r>
          </w:p>
        </w:tc>
        <w:tc>
          <w:tcPr>
            <w:tcW w:w="5408" w:type="dxa"/>
            <w:hideMark/>
          </w:tcPr>
          <w:p w14:paraId="1FC0A219" w14:textId="6E7388D0" w:rsidR="007A049C" w:rsidRPr="007A049C" w:rsidRDefault="007A049C" w:rsidP="007A049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Prihodi od prodaje ili zamjene nefinancijske imovine</w:t>
            </w:r>
          </w:p>
        </w:tc>
        <w:tc>
          <w:tcPr>
            <w:tcW w:w="2472" w:type="dxa"/>
            <w:hideMark/>
          </w:tcPr>
          <w:p w14:paraId="3C1769B5" w14:textId="77777777" w:rsidR="007A049C" w:rsidRPr="007A049C" w:rsidRDefault="007A049C" w:rsidP="007A049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A049C">
              <w:rPr>
                <w:rFonts w:ascii="Arial" w:eastAsia="Times New Roman" w:hAnsi="Arial" w:cs="Arial"/>
                <w:color w:val="000000"/>
                <w:sz w:val="18"/>
                <w:szCs w:val="18"/>
                <w:lang w:eastAsia="hr-HR"/>
              </w:rPr>
              <w:t>10.000,00</w:t>
            </w:r>
          </w:p>
        </w:tc>
      </w:tr>
    </w:tbl>
    <w:p w14:paraId="5E28067B" w14:textId="77777777" w:rsidR="007A049C" w:rsidRDefault="007A049C" w:rsidP="008E79CF">
      <w:pPr>
        <w:rPr>
          <w:rFonts w:ascii="Arial Narrow" w:hAnsi="Arial Narrow" w:cs="Arial"/>
          <w:sz w:val="20"/>
          <w:szCs w:val="20"/>
        </w:rPr>
      </w:pPr>
    </w:p>
    <w:p w14:paraId="357A2374" w14:textId="32644195" w:rsidR="00E81E8A" w:rsidRDefault="00E81E8A" w:rsidP="00E81E8A">
      <w:pPr>
        <w:rPr>
          <w:rFonts w:ascii="Arial Narrow" w:hAnsi="Arial Narrow" w:cs="Arial"/>
          <w:sz w:val="20"/>
          <w:szCs w:val="20"/>
        </w:rPr>
      </w:pPr>
      <w:r>
        <w:rPr>
          <w:rFonts w:ascii="Arial Narrow" w:hAnsi="Arial Narrow" w:cs="Arial"/>
          <w:sz w:val="20"/>
          <w:szCs w:val="20"/>
        </w:rPr>
        <w:t xml:space="preserve">Primici od zaduživanja ; </w:t>
      </w:r>
      <w:r w:rsidRPr="00E81E8A">
        <w:rPr>
          <w:rFonts w:ascii="Arial Narrow" w:hAnsi="Arial Narrow" w:cs="Arial"/>
          <w:sz w:val="20"/>
          <w:szCs w:val="20"/>
        </w:rPr>
        <w:t xml:space="preserve">zaduživanje se odnosi na financiranje projekta Izgradnje dječjeg vrtića u Lipovljanima za cijelu vrijednost projekta iako se iz NPOO-a financira 764.484 € no radi nedinamičnosti povlačenja sredstava iz NPOO-a  trebaju se osigurati sredstva za pred financiranje i financiranje izgradnje objekta i opremanja prostora. </w:t>
      </w:r>
      <w:r w:rsidR="001402BD">
        <w:rPr>
          <w:rFonts w:ascii="Arial Narrow" w:hAnsi="Arial Narrow" w:cs="Arial"/>
          <w:sz w:val="20"/>
          <w:szCs w:val="20"/>
        </w:rPr>
        <w:t>Opširnije obrazloženje se nalazi u posebnom dijelu.</w:t>
      </w:r>
    </w:p>
    <w:tbl>
      <w:tblPr>
        <w:tblStyle w:val="Svijetlatablicareetke-isticanje1"/>
        <w:tblW w:w="9907" w:type="dxa"/>
        <w:tblLook w:val="04A0" w:firstRow="1" w:lastRow="0" w:firstColumn="1" w:lastColumn="0" w:noHBand="0" w:noVBand="1"/>
      </w:tblPr>
      <w:tblGrid>
        <w:gridCol w:w="1977"/>
        <w:gridCol w:w="5442"/>
        <w:gridCol w:w="2488"/>
      </w:tblGrid>
      <w:tr w:rsidR="007A049C" w:rsidRPr="007A049C" w14:paraId="12A3FB8E" w14:textId="77777777" w:rsidTr="007A049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77" w:type="dxa"/>
            <w:hideMark/>
          </w:tcPr>
          <w:p w14:paraId="781754FC" w14:textId="77777777" w:rsidR="007A049C" w:rsidRPr="007A049C" w:rsidRDefault="007A049C" w:rsidP="007A049C">
            <w:pPr>
              <w:spacing w:after="0" w:line="240" w:lineRule="auto"/>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Izvor   8.</w:t>
            </w:r>
          </w:p>
        </w:tc>
        <w:tc>
          <w:tcPr>
            <w:tcW w:w="5442" w:type="dxa"/>
            <w:hideMark/>
          </w:tcPr>
          <w:p w14:paraId="32243C10" w14:textId="77777777" w:rsidR="007A049C" w:rsidRPr="007A049C" w:rsidRDefault="007A049C" w:rsidP="007A049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NAMJENSKI PRIMICI</w:t>
            </w:r>
          </w:p>
        </w:tc>
        <w:tc>
          <w:tcPr>
            <w:tcW w:w="2488" w:type="dxa"/>
            <w:hideMark/>
          </w:tcPr>
          <w:p w14:paraId="3320F6AC" w14:textId="77777777" w:rsidR="007A049C" w:rsidRPr="007A049C" w:rsidRDefault="007A049C" w:rsidP="007A049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2.508.175,00</w:t>
            </w:r>
          </w:p>
        </w:tc>
      </w:tr>
      <w:tr w:rsidR="007A049C" w:rsidRPr="007A049C" w14:paraId="1A2B34E2" w14:textId="77777777" w:rsidTr="007A049C">
        <w:trPr>
          <w:trHeight w:val="311"/>
        </w:trPr>
        <w:tc>
          <w:tcPr>
            <w:cnfStyle w:val="001000000000" w:firstRow="0" w:lastRow="0" w:firstColumn="1" w:lastColumn="0" w:oddVBand="0" w:evenVBand="0" w:oddHBand="0" w:evenHBand="0" w:firstRowFirstColumn="0" w:firstRowLastColumn="0" w:lastRowFirstColumn="0" w:lastRowLastColumn="0"/>
            <w:tcW w:w="1977" w:type="dxa"/>
            <w:hideMark/>
          </w:tcPr>
          <w:p w14:paraId="37F62C9C" w14:textId="77777777" w:rsidR="007A049C" w:rsidRPr="007A049C" w:rsidRDefault="007A049C" w:rsidP="007A049C">
            <w:pPr>
              <w:spacing w:after="0" w:line="240" w:lineRule="auto"/>
              <w:rPr>
                <w:rFonts w:ascii="Arial" w:eastAsia="Times New Roman" w:hAnsi="Arial" w:cs="Arial"/>
                <w:b w:val="0"/>
                <w:bCs w:val="0"/>
                <w:color w:val="000000"/>
                <w:sz w:val="18"/>
                <w:szCs w:val="18"/>
                <w:lang w:eastAsia="hr-HR"/>
              </w:rPr>
            </w:pPr>
            <w:r w:rsidRPr="007A049C">
              <w:rPr>
                <w:rFonts w:ascii="Arial" w:eastAsia="Times New Roman" w:hAnsi="Arial" w:cs="Arial"/>
                <w:b w:val="0"/>
                <w:bCs w:val="0"/>
                <w:color w:val="000000"/>
                <w:sz w:val="18"/>
                <w:szCs w:val="18"/>
                <w:lang w:eastAsia="hr-HR"/>
              </w:rPr>
              <w:t>Izvor   8.0.</w:t>
            </w:r>
          </w:p>
        </w:tc>
        <w:tc>
          <w:tcPr>
            <w:tcW w:w="5442" w:type="dxa"/>
            <w:hideMark/>
          </w:tcPr>
          <w:p w14:paraId="7A1A3516" w14:textId="03094B4C" w:rsidR="007A049C" w:rsidRPr="007A049C" w:rsidRDefault="007A049C" w:rsidP="007A049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6A14FF">
              <w:rPr>
                <w:rFonts w:ascii="Arial" w:eastAsia="Times New Roman" w:hAnsi="Arial" w:cs="Arial"/>
                <w:color w:val="000000"/>
                <w:sz w:val="18"/>
                <w:szCs w:val="18"/>
                <w:lang w:eastAsia="hr-HR"/>
              </w:rPr>
              <w:t>Namjenski primici</w:t>
            </w:r>
          </w:p>
        </w:tc>
        <w:tc>
          <w:tcPr>
            <w:tcW w:w="2488" w:type="dxa"/>
            <w:hideMark/>
          </w:tcPr>
          <w:p w14:paraId="5A7373B8" w14:textId="77777777" w:rsidR="007A049C" w:rsidRPr="007A049C" w:rsidRDefault="007A049C" w:rsidP="007A049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A049C">
              <w:rPr>
                <w:rFonts w:ascii="Arial" w:eastAsia="Times New Roman" w:hAnsi="Arial" w:cs="Arial"/>
                <w:color w:val="000000"/>
                <w:sz w:val="18"/>
                <w:szCs w:val="18"/>
                <w:lang w:eastAsia="hr-HR"/>
              </w:rPr>
              <w:t>2.508.175,00</w:t>
            </w:r>
          </w:p>
        </w:tc>
      </w:tr>
    </w:tbl>
    <w:p w14:paraId="49775B4A" w14:textId="77777777" w:rsidR="007A049C" w:rsidRDefault="007A049C" w:rsidP="00E81E8A">
      <w:pPr>
        <w:rPr>
          <w:rFonts w:ascii="Arial Narrow" w:hAnsi="Arial Narrow" w:cs="Arial"/>
          <w:sz w:val="20"/>
          <w:szCs w:val="20"/>
        </w:rPr>
      </w:pPr>
    </w:p>
    <w:p w14:paraId="33742177" w14:textId="77777777" w:rsidR="007A049C" w:rsidRDefault="007A049C" w:rsidP="00E81E8A">
      <w:pPr>
        <w:rPr>
          <w:rFonts w:ascii="Arial Narrow" w:hAnsi="Arial Narrow" w:cs="Arial"/>
          <w:sz w:val="20"/>
          <w:szCs w:val="20"/>
        </w:rPr>
      </w:pPr>
    </w:p>
    <w:p w14:paraId="42DCECAF" w14:textId="77777777" w:rsidR="007A049C" w:rsidRDefault="007A049C" w:rsidP="00E81E8A">
      <w:pPr>
        <w:rPr>
          <w:rFonts w:ascii="Arial Narrow" w:hAnsi="Arial Narrow" w:cs="Arial"/>
          <w:sz w:val="20"/>
          <w:szCs w:val="20"/>
        </w:rPr>
      </w:pPr>
    </w:p>
    <w:p w14:paraId="706DA2B9" w14:textId="77777777" w:rsidR="007A049C" w:rsidRPr="00E81E8A" w:rsidRDefault="007A049C" w:rsidP="00E81E8A">
      <w:pPr>
        <w:rPr>
          <w:rFonts w:ascii="Arial Narrow" w:hAnsi="Arial Narrow" w:cs="Arial"/>
          <w:sz w:val="20"/>
          <w:szCs w:val="20"/>
        </w:rPr>
      </w:pPr>
    </w:p>
    <w:p w14:paraId="07D4D8BD" w14:textId="645E2365" w:rsidR="009236DC" w:rsidRDefault="00E40BB6" w:rsidP="002239E1">
      <w:pPr>
        <w:rPr>
          <w:rFonts w:ascii="Arial Narrow" w:hAnsi="Arial Narrow" w:cs="Arial"/>
          <w:sz w:val="20"/>
          <w:szCs w:val="20"/>
        </w:rPr>
      </w:pPr>
      <w:r>
        <w:rPr>
          <w:noProof/>
        </w:rPr>
        <w:lastRenderedPageBreak/>
        <w:drawing>
          <wp:inline distT="0" distB="0" distL="0" distR="0" wp14:anchorId="0A80C7D7" wp14:editId="30C6CF78">
            <wp:extent cx="6645910" cy="6050943"/>
            <wp:effectExtent l="0" t="0" r="2540" b="6985"/>
            <wp:docPr id="1712926910" name="Grafikon 1">
              <a:extLst xmlns:a="http://schemas.openxmlformats.org/drawingml/2006/main">
                <a:ext uri="{FF2B5EF4-FFF2-40B4-BE49-F238E27FC236}">
                  <a16:creationId xmlns:a16="http://schemas.microsoft.com/office/drawing/2014/main" id="{DB37D6D7-CAD9-F646-D0CD-CDCC68E16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8B7599" w14:textId="3FF74447" w:rsidR="009236DC" w:rsidRDefault="009236DC" w:rsidP="002239E1">
      <w:pPr>
        <w:rPr>
          <w:rFonts w:ascii="Arial Narrow" w:hAnsi="Arial Narrow" w:cs="Arial"/>
          <w:sz w:val="20"/>
          <w:szCs w:val="20"/>
        </w:rPr>
      </w:pPr>
    </w:p>
    <w:p w14:paraId="002B2522" w14:textId="77777777" w:rsidR="009236DC" w:rsidRDefault="009236DC" w:rsidP="002239E1">
      <w:pPr>
        <w:rPr>
          <w:rFonts w:ascii="Arial Narrow" w:hAnsi="Arial Narrow" w:cs="Arial"/>
          <w:sz w:val="20"/>
          <w:szCs w:val="20"/>
        </w:rPr>
      </w:pPr>
    </w:p>
    <w:p w14:paraId="38F0C801" w14:textId="77777777" w:rsidR="00021B36" w:rsidRDefault="00021B36" w:rsidP="002239E1">
      <w:pPr>
        <w:rPr>
          <w:rFonts w:ascii="Arial Narrow" w:hAnsi="Arial Narrow" w:cs="Arial"/>
          <w:sz w:val="20"/>
          <w:szCs w:val="20"/>
        </w:rPr>
      </w:pPr>
    </w:p>
    <w:p w14:paraId="0B0A4105" w14:textId="77777777" w:rsidR="00021B36" w:rsidRDefault="00021B36" w:rsidP="002239E1">
      <w:pPr>
        <w:rPr>
          <w:rFonts w:ascii="Arial Narrow" w:hAnsi="Arial Narrow" w:cs="Arial"/>
          <w:sz w:val="20"/>
          <w:szCs w:val="20"/>
        </w:rPr>
      </w:pPr>
    </w:p>
    <w:p w14:paraId="27E93802" w14:textId="77777777" w:rsidR="00021B36" w:rsidRDefault="00021B36" w:rsidP="002239E1">
      <w:pPr>
        <w:rPr>
          <w:rFonts w:ascii="Arial Narrow" w:hAnsi="Arial Narrow" w:cs="Arial"/>
          <w:sz w:val="20"/>
          <w:szCs w:val="20"/>
        </w:rPr>
      </w:pPr>
    </w:p>
    <w:p w14:paraId="2E055DBB" w14:textId="77777777" w:rsidR="00021B36" w:rsidRDefault="00021B36" w:rsidP="002239E1">
      <w:pPr>
        <w:rPr>
          <w:rFonts w:ascii="Arial Narrow" w:hAnsi="Arial Narrow" w:cs="Arial"/>
          <w:sz w:val="20"/>
          <w:szCs w:val="20"/>
        </w:rPr>
      </w:pPr>
    </w:p>
    <w:p w14:paraId="01C66A98" w14:textId="77777777" w:rsidR="00021B36" w:rsidRDefault="00021B36" w:rsidP="002239E1">
      <w:pPr>
        <w:rPr>
          <w:rFonts w:ascii="Arial Narrow" w:hAnsi="Arial Narrow" w:cs="Arial"/>
          <w:sz w:val="20"/>
          <w:szCs w:val="20"/>
        </w:rPr>
      </w:pPr>
    </w:p>
    <w:p w14:paraId="30889D7B" w14:textId="77777777" w:rsidR="00021B36" w:rsidRDefault="00021B36" w:rsidP="002239E1">
      <w:pPr>
        <w:rPr>
          <w:rFonts w:ascii="Arial Narrow" w:hAnsi="Arial Narrow" w:cs="Arial"/>
          <w:sz w:val="20"/>
          <w:szCs w:val="20"/>
        </w:rPr>
      </w:pPr>
    </w:p>
    <w:p w14:paraId="3166555E" w14:textId="77777777" w:rsidR="00021B36" w:rsidRDefault="00021B36" w:rsidP="002239E1">
      <w:pPr>
        <w:rPr>
          <w:rFonts w:ascii="Arial Narrow" w:hAnsi="Arial Narrow" w:cs="Arial"/>
          <w:sz w:val="20"/>
          <w:szCs w:val="20"/>
        </w:rPr>
      </w:pPr>
    </w:p>
    <w:p w14:paraId="30311DE4" w14:textId="77777777" w:rsidR="00021B36" w:rsidRDefault="00021B36" w:rsidP="002239E1">
      <w:pPr>
        <w:rPr>
          <w:rFonts w:ascii="Arial Narrow" w:hAnsi="Arial Narrow" w:cs="Arial"/>
          <w:sz w:val="20"/>
          <w:szCs w:val="20"/>
        </w:rPr>
      </w:pPr>
    </w:p>
    <w:p w14:paraId="308119AB" w14:textId="77777777" w:rsidR="00021B36" w:rsidRDefault="00021B36" w:rsidP="002239E1">
      <w:pPr>
        <w:rPr>
          <w:rFonts w:ascii="Arial Narrow" w:hAnsi="Arial Narrow" w:cs="Arial"/>
          <w:sz w:val="20"/>
          <w:szCs w:val="20"/>
        </w:rPr>
      </w:pPr>
    </w:p>
    <w:p w14:paraId="362A909F" w14:textId="77777777" w:rsidR="00021B36" w:rsidRDefault="00021B36" w:rsidP="002239E1">
      <w:pPr>
        <w:rPr>
          <w:rFonts w:ascii="Arial Narrow" w:hAnsi="Arial Narrow" w:cs="Arial"/>
          <w:sz w:val="20"/>
          <w:szCs w:val="20"/>
        </w:rPr>
      </w:pPr>
    </w:p>
    <w:p w14:paraId="4DF6A212" w14:textId="77777777" w:rsidR="00021B36" w:rsidRDefault="00021B36" w:rsidP="002239E1">
      <w:pPr>
        <w:rPr>
          <w:rFonts w:ascii="Arial Narrow" w:hAnsi="Arial Narrow" w:cs="Arial"/>
          <w:sz w:val="20"/>
          <w:szCs w:val="20"/>
        </w:rPr>
      </w:pPr>
    </w:p>
    <w:p w14:paraId="6C0CE346" w14:textId="77777777" w:rsidR="00021B36" w:rsidRDefault="00021B36" w:rsidP="002239E1">
      <w:pPr>
        <w:rPr>
          <w:rFonts w:ascii="Arial Narrow" w:hAnsi="Arial Narrow" w:cs="Arial"/>
          <w:sz w:val="20"/>
          <w:szCs w:val="20"/>
        </w:rPr>
      </w:pPr>
    </w:p>
    <w:p w14:paraId="24612E80" w14:textId="77777777" w:rsidR="00021B36" w:rsidRDefault="00021B36" w:rsidP="002239E1">
      <w:pPr>
        <w:rPr>
          <w:rFonts w:ascii="Arial Narrow" w:hAnsi="Arial Narrow" w:cs="Arial"/>
          <w:sz w:val="20"/>
          <w:szCs w:val="20"/>
        </w:rPr>
      </w:pPr>
    </w:p>
    <w:p w14:paraId="712080E8" w14:textId="75307C83" w:rsidR="007964F5" w:rsidRPr="002239E1" w:rsidRDefault="007964F5" w:rsidP="002239E1">
      <w:pPr>
        <w:rPr>
          <w:rFonts w:ascii="Arial Narrow" w:hAnsi="Arial Narrow" w:cs="Arial"/>
          <w:sz w:val="20"/>
          <w:szCs w:val="20"/>
        </w:rPr>
      </w:pPr>
      <w:r>
        <w:rPr>
          <w:rFonts w:ascii="Arial Narrow" w:hAnsi="Arial Narrow" w:cs="Arial"/>
        </w:rPr>
        <w:t>RASHODI</w:t>
      </w:r>
      <w:r w:rsidR="00C516E7">
        <w:rPr>
          <w:rFonts w:ascii="Arial Narrow" w:hAnsi="Arial Narrow" w:cs="Arial"/>
        </w:rPr>
        <w:t xml:space="preserve"> I IZDACI</w:t>
      </w:r>
    </w:p>
    <w:p w14:paraId="06FE4264" w14:textId="2CDB844D" w:rsidR="00E00C00" w:rsidRDefault="00981D11" w:rsidP="007964F5">
      <w:pPr>
        <w:spacing w:after="0"/>
        <w:rPr>
          <w:rFonts w:ascii="Arial Narrow" w:hAnsi="Arial Narrow" w:cs="Arial"/>
          <w:sz w:val="20"/>
          <w:szCs w:val="20"/>
        </w:rPr>
      </w:pPr>
      <w:r w:rsidRPr="009236DC">
        <w:rPr>
          <w:rFonts w:ascii="Arial Narrow" w:hAnsi="Arial Narrow" w:cs="Arial"/>
          <w:sz w:val="20"/>
          <w:szCs w:val="20"/>
        </w:rPr>
        <w:t>Rashodi poslovanja planiraju se u iznosu</w:t>
      </w:r>
      <w:r w:rsidR="006A14FF">
        <w:rPr>
          <w:rFonts w:ascii="Arial Narrow" w:hAnsi="Arial Narrow" w:cs="Arial"/>
          <w:sz w:val="20"/>
          <w:szCs w:val="20"/>
        </w:rPr>
        <w:t xml:space="preserve"> od=2.727.030,00</w:t>
      </w:r>
      <w:r w:rsidRPr="009236DC">
        <w:rPr>
          <w:rFonts w:ascii="Arial Narrow" w:hAnsi="Arial Narrow" w:cs="Arial"/>
          <w:sz w:val="20"/>
          <w:szCs w:val="20"/>
        </w:rPr>
        <w:t xml:space="preserve">Eur - </w:t>
      </w:r>
      <w:r w:rsidR="007964F5" w:rsidRPr="009236DC">
        <w:rPr>
          <w:rFonts w:ascii="Arial Narrow" w:hAnsi="Arial Narrow" w:cs="Arial"/>
          <w:sz w:val="20"/>
          <w:szCs w:val="20"/>
        </w:rPr>
        <w:t xml:space="preserve">rashodi za nabavu nefinancijske imovine u iznosu od </w:t>
      </w:r>
      <w:r w:rsidR="00E067BE" w:rsidRPr="009236DC">
        <w:rPr>
          <w:rFonts w:ascii="Arial Narrow" w:hAnsi="Arial Narrow" w:cs="Arial"/>
          <w:sz w:val="20"/>
          <w:szCs w:val="20"/>
        </w:rPr>
        <w:t>=</w:t>
      </w:r>
      <w:r w:rsidR="006A14FF">
        <w:rPr>
          <w:rFonts w:ascii="Arial Narrow" w:hAnsi="Arial Narrow" w:cs="Arial"/>
          <w:sz w:val="20"/>
          <w:szCs w:val="20"/>
        </w:rPr>
        <w:t>6.677.663,00</w:t>
      </w:r>
      <w:r w:rsidR="00D61173" w:rsidRPr="009236DC">
        <w:rPr>
          <w:rFonts w:ascii="Arial Narrow" w:hAnsi="Arial Narrow" w:cs="Arial"/>
          <w:sz w:val="20"/>
          <w:szCs w:val="20"/>
        </w:rPr>
        <w:t>.</w:t>
      </w:r>
      <w:r w:rsidR="0007275D" w:rsidRPr="009236DC">
        <w:rPr>
          <w:rFonts w:ascii="Arial Narrow" w:hAnsi="Arial Narrow" w:cs="Arial"/>
          <w:sz w:val="20"/>
          <w:szCs w:val="20"/>
        </w:rPr>
        <w:t xml:space="preserve">Eur </w:t>
      </w:r>
      <w:r w:rsidR="009236DC" w:rsidRPr="009236DC">
        <w:rPr>
          <w:rFonts w:ascii="Arial Narrow" w:hAnsi="Arial Narrow" w:cs="Arial"/>
          <w:sz w:val="20"/>
          <w:szCs w:val="20"/>
        </w:rPr>
        <w:t>, izdaci za otplatu glavnice primljenih kredita i zajmova u iznosu od</w:t>
      </w:r>
      <w:r w:rsidR="006A14FF">
        <w:rPr>
          <w:rFonts w:ascii="Arial Narrow" w:hAnsi="Arial Narrow" w:cs="Arial"/>
          <w:sz w:val="20"/>
          <w:szCs w:val="20"/>
        </w:rPr>
        <w:t xml:space="preserve">=48.727,00 </w:t>
      </w:r>
      <w:proofErr w:type="spellStart"/>
      <w:r w:rsidR="009236DC" w:rsidRPr="009236DC">
        <w:rPr>
          <w:rFonts w:ascii="Arial Narrow" w:hAnsi="Arial Narrow" w:cs="Arial"/>
          <w:sz w:val="20"/>
          <w:szCs w:val="20"/>
        </w:rPr>
        <w:t>Eur</w:t>
      </w:r>
      <w:proofErr w:type="spellEnd"/>
      <w:r w:rsidR="007964F5" w:rsidRPr="009236DC">
        <w:rPr>
          <w:rFonts w:ascii="Arial Narrow" w:hAnsi="Arial Narrow" w:cs="Arial"/>
          <w:sz w:val="20"/>
          <w:szCs w:val="20"/>
        </w:rPr>
        <w:t xml:space="preserve"> uključujući i </w:t>
      </w:r>
      <w:r w:rsidR="006A14FF">
        <w:rPr>
          <w:rFonts w:ascii="Arial Narrow" w:hAnsi="Arial Narrow" w:cs="Arial"/>
          <w:sz w:val="20"/>
          <w:szCs w:val="20"/>
        </w:rPr>
        <w:t xml:space="preserve">procijenjeni </w:t>
      </w:r>
      <w:r w:rsidR="007964F5" w:rsidRPr="009236DC">
        <w:rPr>
          <w:rFonts w:ascii="Arial Narrow" w:hAnsi="Arial Narrow" w:cs="Arial"/>
          <w:sz w:val="20"/>
          <w:szCs w:val="20"/>
        </w:rPr>
        <w:t xml:space="preserve">manjak </w:t>
      </w:r>
      <w:r w:rsidR="005E01C1" w:rsidRPr="009236DC">
        <w:rPr>
          <w:rFonts w:ascii="Arial Narrow" w:hAnsi="Arial Narrow" w:cs="Arial"/>
          <w:sz w:val="20"/>
          <w:szCs w:val="20"/>
        </w:rPr>
        <w:t xml:space="preserve">koji je prebijen sa viškom prihoda </w:t>
      </w:r>
      <w:r w:rsidR="007964F5" w:rsidRPr="009236DC">
        <w:rPr>
          <w:rFonts w:ascii="Arial Narrow" w:hAnsi="Arial Narrow" w:cs="Arial"/>
          <w:sz w:val="20"/>
          <w:szCs w:val="20"/>
        </w:rPr>
        <w:t xml:space="preserve">PK Narodne knjižnice u iznosu od </w:t>
      </w:r>
      <w:r w:rsidR="00E067BE" w:rsidRPr="009236DC">
        <w:rPr>
          <w:rFonts w:ascii="Arial Narrow" w:hAnsi="Arial Narrow" w:cs="Arial"/>
          <w:sz w:val="20"/>
          <w:szCs w:val="20"/>
        </w:rPr>
        <w:t>=</w:t>
      </w:r>
      <w:r w:rsidR="006A14FF">
        <w:rPr>
          <w:rFonts w:ascii="Arial Narrow" w:hAnsi="Arial Narrow" w:cs="Arial"/>
          <w:sz w:val="20"/>
          <w:szCs w:val="20"/>
        </w:rPr>
        <w:t xml:space="preserve">971,00 </w:t>
      </w:r>
      <w:proofErr w:type="spellStart"/>
      <w:r w:rsidR="0007275D" w:rsidRPr="009236DC">
        <w:rPr>
          <w:rFonts w:ascii="Arial Narrow" w:hAnsi="Arial Narrow" w:cs="Arial"/>
          <w:sz w:val="20"/>
          <w:szCs w:val="20"/>
        </w:rPr>
        <w:t>Eur</w:t>
      </w:r>
      <w:proofErr w:type="spellEnd"/>
      <w:r w:rsidR="007964F5" w:rsidRPr="009236DC">
        <w:rPr>
          <w:rFonts w:ascii="Arial Narrow" w:hAnsi="Arial Narrow" w:cs="Arial"/>
          <w:sz w:val="20"/>
          <w:szCs w:val="20"/>
        </w:rPr>
        <w:t xml:space="preserve">  , tako se </w:t>
      </w:r>
      <w:r w:rsidR="007964F5" w:rsidRPr="0000722C">
        <w:rPr>
          <w:rFonts w:ascii="Arial Narrow" w:hAnsi="Arial Narrow" w:cs="Arial"/>
          <w:b/>
          <w:bCs/>
          <w:sz w:val="20"/>
          <w:szCs w:val="20"/>
        </w:rPr>
        <w:t>sveukupno rashodi i izdaci p</w:t>
      </w:r>
      <w:r w:rsidRPr="0000722C">
        <w:rPr>
          <w:rFonts w:ascii="Arial Narrow" w:hAnsi="Arial Narrow" w:cs="Arial"/>
          <w:b/>
          <w:bCs/>
          <w:sz w:val="20"/>
          <w:szCs w:val="20"/>
        </w:rPr>
        <w:t>laniraju</w:t>
      </w:r>
      <w:r w:rsidR="007964F5" w:rsidRPr="0000722C">
        <w:rPr>
          <w:rFonts w:ascii="Arial Narrow" w:hAnsi="Arial Narrow" w:cs="Arial"/>
          <w:b/>
          <w:bCs/>
          <w:sz w:val="20"/>
          <w:szCs w:val="20"/>
        </w:rPr>
        <w:t xml:space="preserve"> u iznosu od </w:t>
      </w:r>
      <w:r w:rsidR="00E067BE" w:rsidRPr="0000722C">
        <w:rPr>
          <w:rFonts w:ascii="Arial Narrow" w:hAnsi="Arial Narrow" w:cs="Arial"/>
          <w:b/>
          <w:bCs/>
          <w:sz w:val="20"/>
          <w:szCs w:val="20"/>
        </w:rPr>
        <w:t>=</w:t>
      </w:r>
      <w:r w:rsidR="006A14FF" w:rsidRPr="0000722C">
        <w:rPr>
          <w:rFonts w:ascii="Arial Narrow" w:hAnsi="Arial Narrow" w:cs="Arial"/>
          <w:b/>
          <w:bCs/>
          <w:sz w:val="20"/>
          <w:szCs w:val="20"/>
        </w:rPr>
        <w:t>9.453.420,00</w:t>
      </w:r>
      <w:r w:rsidRPr="0000722C">
        <w:rPr>
          <w:rFonts w:ascii="Arial Narrow" w:hAnsi="Arial Narrow" w:cs="Arial"/>
          <w:b/>
          <w:bCs/>
          <w:sz w:val="20"/>
          <w:szCs w:val="20"/>
        </w:rPr>
        <w:t xml:space="preserve"> </w:t>
      </w:r>
      <w:proofErr w:type="spellStart"/>
      <w:r w:rsidR="0007275D" w:rsidRPr="0000722C">
        <w:rPr>
          <w:rFonts w:ascii="Arial Narrow" w:hAnsi="Arial Narrow" w:cs="Arial"/>
          <w:b/>
          <w:bCs/>
          <w:sz w:val="20"/>
          <w:szCs w:val="20"/>
        </w:rPr>
        <w:t>Eur</w:t>
      </w:r>
      <w:proofErr w:type="spellEnd"/>
      <w:r w:rsidR="007964F5" w:rsidRPr="0000722C">
        <w:rPr>
          <w:rFonts w:ascii="Arial Narrow" w:hAnsi="Arial Narrow" w:cs="Arial"/>
          <w:b/>
          <w:bCs/>
          <w:sz w:val="20"/>
          <w:szCs w:val="20"/>
        </w:rPr>
        <w:t>.</w:t>
      </w:r>
      <w:r w:rsidR="007964F5" w:rsidRPr="009236DC">
        <w:rPr>
          <w:rFonts w:ascii="Arial Narrow" w:hAnsi="Arial Narrow" w:cs="Arial"/>
          <w:sz w:val="20"/>
          <w:szCs w:val="20"/>
        </w:rPr>
        <w:t xml:space="preserve"> </w:t>
      </w:r>
    </w:p>
    <w:p w14:paraId="640185E8" w14:textId="77777777" w:rsidR="009236DC" w:rsidRPr="009236DC" w:rsidRDefault="009236DC" w:rsidP="007964F5">
      <w:pPr>
        <w:spacing w:after="0"/>
        <w:rPr>
          <w:rFonts w:ascii="Arial Narrow" w:hAnsi="Arial Narrow" w:cs="Arial"/>
          <w:sz w:val="20"/>
          <w:szCs w:val="20"/>
        </w:rPr>
      </w:pPr>
    </w:p>
    <w:p w14:paraId="0DAB2BFC" w14:textId="77777777" w:rsidR="00E11465" w:rsidRDefault="00E11465" w:rsidP="007964F5">
      <w:pPr>
        <w:spacing w:after="0"/>
        <w:rPr>
          <w:rFonts w:ascii="Arial Narrow" w:hAnsi="Arial Narrow" w:cs="Arial"/>
        </w:rPr>
      </w:pPr>
    </w:p>
    <w:p w14:paraId="59E09ADB" w14:textId="701FA827" w:rsidR="004B00BA" w:rsidRPr="00AF4816" w:rsidRDefault="00AF4816" w:rsidP="007964F5">
      <w:pPr>
        <w:spacing w:after="0"/>
        <w:rPr>
          <w:rFonts w:ascii="Arial Narrow" w:hAnsi="Arial Narrow" w:cs="Arial"/>
          <w:sz w:val="16"/>
          <w:szCs w:val="16"/>
        </w:rPr>
      </w:pPr>
      <w:r w:rsidRPr="00AF4816">
        <w:rPr>
          <w:noProof/>
          <w:sz w:val="16"/>
          <w:szCs w:val="16"/>
        </w:rPr>
        <mc:AlternateContent>
          <mc:Choice Requires="cx2">
            <w:drawing>
              <wp:inline distT="0" distB="0" distL="0" distR="0" wp14:anchorId="0982CB9E" wp14:editId="4E3227DF">
                <wp:extent cx="6805903" cy="6932930"/>
                <wp:effectExtent l="0" t="0" r="14605" b="1270"/>
                <wp:docPr id="1403407673" name="Grafikon 1">
                  <a:extLst xmlns:a="http://schemas.openxmlformats.org/drawingml/2006/main">
                    <a:ext uri="{FF2B5EF4-FFF2-40B4-BE49-F238E27FC236}">
                      <a16:creationId xmlns:a16="http://schemas.microsoft.com/office/drawing/2014/main" id="{F8FA218E-1336-732E-961C-CCD5628A176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0982CB9E" wp14:editId="4E3227DF">
                <wp:extent cx="6805903" cy="6932930"/>
                <wp:effectExtent l="0" t="0" r="14605" b="1270"/>
                <wp:docPr id="1403407673" name="Grafikon 1">
                  <a:extLst xmlns:a="http://schemas.openxmlformats.org/drawingml/2006/main">
                    <a:ext uri="{FF2B5EF4-FFF2-40B4-BE49-F238E27FC236}">
                      <a16:creationId xmlns:a16="http://schemas.microsoft.com/office/drawing/2014/main" id="{F8FA218E-1336-732E-961C-CCD5628A176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03407673" name="Grafikon 1">
                          <a:extLst>
                            <a:ext uri="{FF2B5EF4-FFF2-40B4-BE49-F238E27FC236}">
                              <a16:creationId xmlns:a16="http://schemas.microsoft.com/office/drawing/2014/main" id="{F8FA218E-1336-732E-961C-CCD5628A1763}"/>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6805295" cy="6932930"/>
                        </a:xfrm>
                        <a:prstGeom prst="rect">
                          <a:avLst/>
                        </a:prstGeom>
                      </pic:spPr>
                    </pic:pic>
                  </a:graphicData>
                </a:graphic>
              </wp:inline>
            </w:drawing>
          </mc:Fallback>
        </mc:AlternateContent>
      </w:r>
    </w:p>
    <w:sectPr w:rsidR="004B00BA" w:rsidRPr="00AF4816" w:rsidSect="00AC0B06">
      <w:headerReference w:type="default" r:id="rId13"/>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071A" w14:textId="77777777" w:rsidR="002C5912" w:rsidRDefault="002C5912" w:rsidP="00882E13">
      <w:pPr>
        <w:spacing w:after="0" w:line="240" w:lineRule="auto"/>
      </w:pPr>
      <w:r>
        <w:separator/>
      </w:r>
    </w:p>
  </w:endnote>
  <w:endnote w:type="continuationSeparator" w:id="0">
    <w:p w14:paraId="39CBD6E3" w14:textId="77777777" w:rsidR="002C5912" w:rsidRDefault="002C5912" w:rsidP="0088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0B63" w14:textId="77777777" w:rsidR="002C5912" w:rsidRDefault="002C5912" w:rsidP="00882E13">
      <w:pPr>
        <w:spacing w:after="0" w:line="240" w:lineRule="auto"/>
      </w:pPr>
      <w:r>
        <w:separator/>
      </w:r>
    </w:p>
  </w:footnote>
  <w:footnote w:type="continuationSeparator" w:id="0">
    <w:p w14:paraId="147F46F5" w14:textId="77777777" w:rsidR="002C5912" w:rsidRDefault="002C5912" w:rsidP="00882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38891"/>
      <w:docPartObj>
        <w:docPartGallery w:val="Page Numbers (Top of Page)"/>
        <w:docPartUnique/>
      </w:docPartObj>
    </w:sdtPr>
    <w:sdtContent>
      <w:p w14:paraId="2F0C49DF" w14:textId="77777777" w:rsidR="00330ABA" w:rsidRDefault="00330ABA">
        <w:pPr>
          <w:pStyle w:val="Zaglavlje"/>
          <w:jc w:val="right"/>
        </w:pPr>
        <w:r>
          <w:fldChar w:fldCharType="begin"/>
        </w:r>
        <w:r>
          <w:instrText>PAGE   \* MERGEFORMAT</w:instrText>
        </w:r>
        <w:r>
          <w:fldChar w:fldCharType="separate"/>
        </w:r>
        <w:r w:rsidR="00E81E8A">
          <w:rPr>
            <w:noProof/>
          </w:rPr>
          <w:t>15</w:t>
        </w:r>
        <w:r>
          <w:fldChar w:fldCharType="end"/>
        </w:r>
      </w:p>
    </w:sdtContent>
  </w:sdt>
  <w:p w14:paraId="057ACCA1" w14:textId="77777777" w:rsidR="00330ABA" w:rsidRDefault="00330AB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24276"/>
    <w:multiLevelType w:val="hybridMultilevel"/>
    <w:tmpl w:val="BC50F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253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13"/>
    <w:rsid w:val="0000722C"/>
    <w:rsid w:val="00021B36"/>
    <w:rsid w:val="00040751"/>
    <w:rsid w:val="00046B3D"/>
    <w:rsid w:val="00051079"/>
    <w:rsid w:val="00064E0B"/>
    <w:rsid w:val="000726C8"/>
    <w:rsid w:val="0007275D"/>
    <w:rsid w:val="0008348A"/>
    <w:rsid w:val="0009446E"/>
    <w:rsid w:val="000A3014"/>
    <w:rsid w:val="00116BBD"/>
    <w:rsid w:val="00130C64"/>
    <w:rsid w:val="001402BD"/>
    <w:rsid w:val="00151C5D"/>
    <w:rsid w:val="001A7031"/>
    <w:rsid w:val="001A7EA8"/>
    <w:rsid w:val="001B6FEA"/>
    <w:rsid w:val="001D247E"/>
    <w:rsid w:val="001F1EB8"/>
    <w:rsid w:val="001F21DD"/>
    <w:rsid w:val="00202948"/>
    <w:rsid w:val="00215C24"/>
    <w:rsid w:val="002239E1"/>
    <w:rsid w:val="002250D0"/>
    <w:rsid w:val="00227C36"/>
    <w:rsid w:val="00254D88"/>
    <w:rsid w:val="00271115"/>
    <w:rsid w:val="00284E48"/>
    <w:rsid w:val="00295DDA"/>
    <w:rsid w:val="002A6EE2"/>
    <w:rsid w:val="002C5912"/>
    <w:rsid w:val="002E6111"/>
    <w:rsid w:val="002F3577"/>
    <w:rsid w:val="002F4716"/>
    <w:rsid w:val="002F7136"/>
    <w:rsid w:val="003043FE"/>
    <w:rsid w:val="003162E0"/>
    <w:rsid w:val="00316F0B"/>
    <w:rsid w:val="003200CD"/>
    <w:rsid w:val="00326847"/>
    <w:rsid w:val="00330ABA"/>
    <w:rsid w:val="00340C70"/>
    <w:rsid w:val="00373490"/>
    <w:rsid w:val="0038760B"/>
    <w:rsid w:val="003A2C9A"/>
    <w:rsid w:val="003B4646"/>
    <w:rsid w:val="003C190E"/>
    <w:rsid w:val="003E0BC3"/>
    <w:rsid w:val="003E6E1A"/>
    <w:rsid w:val="0040112C"/>
    <w:rsid w:val="00406AAC"/>
    <w:rsid w:val="00411C3C"/>
    <w:rsid w:val="00451F88"/>
    <w:rsid w:val="00460873"/>
    <w:rsid w:val="00463F33"/>
    <w:rsid w:val="00464F57"/>
    <w:rsid w:val="00465D89"/>
    <w:rsid w:val="00492065"/>
    <w:rsid w:val="00493142"/>
    <w:rsid w:val="004A4913"/>
    <w:rsid w:val="004A6F1B"/>
    <w:rsid w:val="004B00BA"/>
    <w:rsid w:val="004C3852"/>
    <w:rsid w:val="004D1487"/>
    <w:rsid w:val="004E7745"/>
    <w:rsid w:val="004F6109"/>
    <w:rsid w:val="00536D64"/>
    <w:rsid w:val="00552AA9"/>
    <w:rsid w:val="0055632D"/>
    <w:rsid w:val="0056336A"/>
    <w:rsid w:val="00585BA4"/>
    <w:rsid w:val="00595466"/>
    <w:rsid w:val="00596260"/>
    <w:rsid w:val="00597063"/>
    <w:rsid w:val="005D778E"/>
    <w:rsid w:val="005E01C1"/>
    <w:rsid w:val="005F1DB0"/>
    <w:rsid w:val="0061316F"/>
    <w:rsid w:val="006424FE"/>
    <w:rsid w:val="00643313"/>
    <w:rsid w:val="0065787A"/>
    <w:rsid w:val="00661A69"/>
    <w:rsid w:val="00662F2E"/>
    <w:rsid w:val="00663CE1"/>
    <w:rsid w:val="00680F9A"/>
    <w:rsid w:val="006A14FF"/>
    <w:rsid w:val="006A4275"/>
    <w:rsid w:val="006A4A1F"/>
    <w:rsid w:val="006B067C"/>
    <w:rsid w:val="006B6110"/>
    <w:rsid w:val="006C5AC3"/>
    <w:rsid w:val="006D7029"/>
    <w:rsid w:val="006E37D8"/>
    <w:rsid w:val="006E657F"/>
    <w:rsid w:val="0070291E"/>
    <w:rsid w:val="00711394"/>
    <w:rsid w:val="00711B55"/>
    <w:rsid w:val="00714F45"/>
    <w:rsid w:val="00717FF1"/>
    <w:rsid w:val="007351F7"/>
    <w:rsid w:val="00740066"/>
    <w:rsid w:val="00741E0D"/>
    <w:rsid w:val="00757098"/>
    <w:rsid w:val="00770975"/>
    <w:rsid w:val="00793D2E"/>
    <w:rsid w:val="0079636E"/>
    <w:rsid w:val="007964F5"/>
    <w:rsid w:val="00797EF5"/>
    <w:rsid w:val="007A049C"/>
    <w:rsid w:val="007B0507"/>
    <w:rsid w:val="007B0A80"/>
    <w:rsid w:val="007B4F56"/>
    <w:rsid w:val="007C03AA"/>
    <w:rsid w:val="007C210C"/>
    <w:rsid w:val="007C7EEB"/>
    <w:rsid w:val="007F20DB"/>
    <w:rsid w:val="007F43CF"/>
    <w:rsid w:val="0082647E"/>
    <w:rsid w:val="008517F6"/>
    <w:rsid w:val="00860630"/>
    <w:rsid w:val="0086712A"/>
    <w:rsid w:val="00882E13"/>
    <w:rsid w:val="008B1091"/>
    <w:rsid w:val="008B5CDD"/>
    <w:rsid w:val="008B673A"/>
    <w:rsid w:val="008B6903"/>
    <w:rsid w:val="008C02E9"/>
    <w:rsid w:val="008E1789"/>
    <w:rsid w:val="008E79CF"/>
    <w:rsid w:val="008F4A40"/>
    <w:rsid w:val="0091517F"/>
    <w:rsid w:val="00923283"/>
    <w:rsid w:val="009236DC"/>
    <w:rsid w:val="0093222B"/>
    <w:rsid w:val="00942898"/>
    <w:rsid w:val="00953E60"/>
    <w:rsid w:val="009570C3"/>
    <w:rsid w:val="009611B5"/>
    <w:rsid w:val="00963A7F"/>
    <w:rsid w:val="00967946"/>
    <w:rsid w:val="00981D11"/>
    <w:rsid w:val="00984817"/>
    <w:rsid w:val="009A33E1"/>
    <w:rsid w:val="009B6FA3"/>
    <w:rsid w:val="009C7B61"/>
    <w:rsid w:val="009D3EB0"/>
    <w:rsid w:val="009E4D8F"/>
    <w:rsid w:val="00A13955"/>
    <w:rsid w:val="00A271E9"/>
    <w:rsid w:val="00A453CB"/>
    <w:rsid w:val="00A543D7"/>
    <w:rsid w:val="00A67745"/>
    <w:rsid w:val="00A90096"/>
    <w:rsid w:val="00A93726"/>
    <w:rsid w:val="00A94E18"/>
    <w:rsid w:val="00AC0B06"/>
    <w:rsid w:val="00AC127D"/>
    <w:rsid w:val="00AD08B3"/>
    <w:rsid w:val="00AD614D"/>
    <w:rsid w:val="00AE1422"/>
    <w:rsid w:val="00AF4816"/>
    <w:rsid w:val="00B05B13"/>
    <w:rsid w:val="00B27C91"/>
    <w:rsid w:val="00B70433"/>
    <w:rsid w:val="00B94504"/>
    <w:rsid w:val="00B963B8"/>
    <w:rsid w:val="00BA5FBE"/>
    <w:rsid w:val="00BC19B6"/>
    <w:rsid w:val="00BD2361"/>
    <w:rsid w:val="00BD477D"/>
    <w:rsid w:val="00BF1253"/>
    <w:rsid w:val="00BF255E"/>
    <w:rsid w:val="00BF43B6"/>
    <w:rsid w:val="00C16610"/>
    <w:rsid w:val="00C3379B"/>
    <w:rsid w:val="00C400E6"/>
    <w:rsid w:val="00C516E7"/>
    <w:rsid w:val="00C94FE3"/>
    <w:rsid w:val="00C94FF8"/>
    <w:rsid w:val="00CA4C9A"/>
    <w:rsid w:val="00CB0B4A"/>
    <w:rsid w:val="00CB160D"/>
    <w:rsid w:val="00CB341F"/>
    <w:rsid w:val="00CC6106"/>
    <w:rsid w:val="00CE488F"/>
    <w:rsid w:val="00CF3A33"/>
    <w:rsid w:val="00D0414C"/>
    <w:rsid w:val="00D34BD1"/>
    <w:rsid w:val="00D61173"/>
    <w:rsid w:val="00D648CA"/>
    <w:rsid w:val="00D9174E"/>
    <w:rsid w:val="00DB61A5"/>
    <w:rsid w:val="00DC05F8"/>
    <w:rsid w:val="00DC329D"/>
    <w:rsid w:val="00DC3B6A"/>
    <w:rsid w:val="00DD6FD2"/>
    <w:rsid w:val="00DD7B2C"/>
    <w:rsid w:val="00DF3B30"/>
    <w:rsid w:val="00E00C00"/>
    <w:rsid w:val="00E067BE"/>
    <w:rsid w:val="00E11465"/>
    <w:rsid w:val="00E157A1"/>
    <w:rsid w:val="00E40BB6"/>
    <w:rsid w:val="00E81E8A"/>
    <w:rsid w:val="00EA4B65"/>
    <w:rsid w:val="00EB467A"/>
    <w:rsid w:val="00EC2CF1"/>
    <w:rsid w:val="00ED273C"/>
    <w:rsid w:val="00F17B02"/>
    <w:rsid w:val="00F255C7"/>
    <w:rsid w:val="00F30714"/>
    <w:rsid w:val="00F66282"/>
    <w:rsid w:val="00F7369D"/>
    <w:rsid w:val="00F74851"/>
    <w:rsid w:val="00F8444A"/>
    <w:rsid w:val="00FB74BD"/>
    <w:rsid w:val="00FC7CD5"/>
    <w:rsid w:val="00FE30DE"/>
    <w:rsid w:val="00FE6F15"/>
    <w:rsid w:val="00FF50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F055"/>
  <w15:chartTrackingRefBased/>
  <w15:docId w15:val="{CF6EB1DB-2095-45EB-A701-2BCF84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13"/>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Stil1">
    <w:name w:val="Stil1"/>
    <w:basedOn w:val="Obinatablica"/>
    <w:uiPriority w:val="99"/>
    <w:rsid w:val="00465D89"/>
    <w:pPr>
      <w:spacing w:after="0" w:line="240" w:lineRule="auto"/>
    </w:pPr>
    <w:tblPr/>
  </w:style>
  <w:style w:type="paragraph" w:styleId="Bezproreda">
    <w:name w:val="No Spacing"/>
    <w:link w:val="BezproredaChar"/>
    <w:uiPriority w:val="1"/>
    <w:qFormat/>
    <w:rsid w:val="00643313"/>
    <w:pPr>
      <w:spacing w:after="0" w:line="240" w:lineRule="auto"/>
    </w:pPr>
    <w:rPr>
      <w:rFonts w:ascii="Calibri" w:eastAsia="Calibri" w:hAnsi="Calibri" w:cs="Times New Roman"/>
    </w:rPr>
  </w:style>
  <w:style w:type="paragraph" w:styleId="Odlomakpopisa">
    <w:name w:val="List Paragraph"/>
    <w:basedOn w:val="Normal"/>
    <w:uiPriority w:val="34"/>
    <w:qFormat/>
    <w:rsid w:val="00643313"/>
    <w:pPr>
      <w:spacing w:after="0" w:line="240" w:lineRule="auto"/>
      <w:ind w:left="720"/>
      <w:contextualSpacing/>
    </w:pPr>
    <w:rPr>
      <w:rFonts w:ascii="Times New Roman" w:eastAsia="Times New Roman" w:hAnsi="Times New Roman"/>
      <w:sz w:val="24"/>
      <w:szCs w:val="24"/>
      <w:lang w:eastAsia="hr-HR"/>
    </w:rPr>
  </w:style>
  <w:style w:type="character" w:customStyle="1" w:styleId="BezproredaChar">
    <w:name w:val="Bez proreda Char"/>
    <w:link w:val="Bezproreda"/>
    <w:uiPriority w:val="1"/>
    <w:rsid w:val="00643313"/>
    <w:rPr>
      <w:rFonts w:ascii="Calibri" w:eastAsia="Calibri" w:hAnsi="Calibri" w:cs="Times New Roman"/>
    </w:rPr>
  </w:style>
  <w:style w:type="paragraph" w:customStyle="1" w:styleId="CM169">
    <w:name w:val="CM169"/>
    <w:basedOn w:val="Normal"/>
    <w:next w:val="Normal"/>
    <w:uiPriority w:val="99"/>
    <w:rsid w:val="00F17B02"/>
    <w:pPr>
      <w:widowControl w:val="0"/>
      <w:autoSpaceDE w:val="0"/>
      <w:autoSpaceDN w:val="0"/>
      <w:adjustRightInd w:val="0"/>
      <w:spacing w:after="0" w:line="240" w:lineRule="auto"/>
    </w:pPr>
    <w:rPr>
      <w:rFonts w:ascii="Arial" w:eastAsia="Times New Roman" w:hAnsi="Arial" w:cs="Arial"/>
      <w:sz w:val="24"/>
      <w:szCs w:val="24"/>
      <w:lang w:eastAsia="hr-HR"/>
    </w:rPr>
  </w:style>
  <w:style w:type="paragraph" w:customStyle="1" w:styleId="Default">
    <w:name w:val="Default"/>
    <w:rsid w:val="00F17B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CM4">
    <w:name w:val="CM4"/>
    <w:basedOn w:val="Default"/>
    <w:next w:val="Default"/>
    <w:uiPriority w:val="99"/>
    <w:rsid w:val="00F17B02"/>
    <w:rPr>
      <w:color w:val="auto"/>
    </w:rPr>
  </w:style>
  <w:style w:type="paragraph" w:customStyle="1" w:styleId="CM2">
    <w:name w:val="CM2"/>
    <w:basedOn w:val="Default"/>
    <w:next w:val="Default"/>
    <w:uiPriority w:val="99"/>
    <w:rsid w:val="00F17B02"/>
    <w:pPr>
      <w:spacing w:line="276" w:lineRule="atLeast"/>
    </w:pPr>
    <w:rPr>
      <w:color w:val="auto"/>
    </w:rPr>
  </w:style>
  <w:style w:type="paragraph" w:customStyle="1" w:styleId="CM5">
    <w:name w:val="CM5"/>
    <w:basedOn w:val="Default"/>
    <w:next w:val="Default"/>
    <w:uiPriority w:val="99"/>
    <w:rsid w:val="00F17B02"/>
    <w:pPr>
      <w:spacing w:line="253" w:lineRule="atLeast"/>
    </w:pPr>
    <w:rPr>
      <w:rFonts w:ascii="Arial" w:hAnsi="Arial" w:cs="Arial"/>
      <w:color w:val="auto"/>
    </w:rPr>
  </w:style>
  <w:style w:type="paragraph" w:customStyle="1" w:styleId="CM182">
    <w:name w:val="CM182"/>
    <w:basedOn w:val="Default"/>
    <w:next w:val="Default"/>
    <w:uiPriority w:val="99"/>
    <w:rsid w:val="00F17B02"/>
    <w:rPr>
      <w:rFonts w:ascii="Arial" w:hAnsi="Arial" w:cs="Arial"/>
      <w:color w:val="auto"/>
    </w:rPr>
  </w:style>
  <w:style w:type="table" w:styleId="Obinatablica5">
    <w:name w:val="Plain Table 5"/>
    <w:basedOn w:val="Obinatablica"/>
    <w:uiPriority w:val="45"/>
    <w:rsid w:val="005633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3">
    <w:name w:val="Plain Table 3"/>
    <w:basedOn w:val="Obinatablica"/>
    <w:uiPriority w:val="43"/>
    <w:rsid w:val="005633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kstbalonia">
    <w:name w:val="Balloon Text"/>
    <w:basedOn w:val="Normal"/>
    <w:link w:val="TekstbaloniaChar"/>
    <w:uiPriority w:val="99"/>
    <w:semiHidden/>
    <w:unhideWhenUsed/>
    <w:rsid w:val="00882E1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82E13"/>
    <w:rPr>
      <w:rFonts w:ascii="Segoe UI" w:eastAsia="Calibri" w:hAnsi="Segoe UI" w:cs="Segoe UI"/>
      <w:sz w:val="18"/>
      <w:szCs w:val="18"/>
    </w:rPr>
  </w:style>
  <w:style w:type="paragraph" w:styleId="Zaglavlje">
    <w:name w:val="header"/>
    <w:basedOn w:val="Normal"/>
    <w:link w:val="ZaglavljeChar"/>
    <w:uiPriority w:val="99"/>
    <w:unhideWhenUsed/>
    <w:rsid w:val="00882E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2E13"/>
    <w:rPr>
      <w:rFonts w:ascii="Calibri" w:eastAsia="Calibri" w:hAnsi="Calibri" w:cs="Times New Roman"/>
    </w:rPr>
  </w:style>
  <w:style w:type="paragraph" w:styleId="Podnoje">
    <w:name w:val="footer"/>
    <w:basedOn w:val="Normal"/>
    <w:link w:val="PodnojeChar"/>
    <w:uiPriority w:val="99"/>
    <w:unhideWhenUsed/>
    <w:rsid w:val="00882E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2E13"/>
    <w:rPr>
      <w:rFonts w:ascii="Calibri" w:eastAsia="Calibri" w:hAnsi="Calibri" w:cs="Times New Roman"/>
    </w:rPr>
  </w:style>
  <w:style w:type="table" w:styleId="Reetkatablice">
    <w:name w:val="Table Grid"/>
    <w:basedOn w:val="Obinatablica"/>
    <w:uiPriority w:val="39"/>
    <w:rsid w:val="0066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1">
    <w:name w:val="Plain Table 1"/>
    <w:basedOn w:val="Obinatablica"/>
    <w:uiPriority w:val="41"/>
    <w:rsid w:val="00661A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2250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vijetlatablicareetke-isticanje1">
    <w:name w:val="Grid Table 1 Light Accent 1"/>
    <w:basedOn w:val="Obinatablica"/>
    <w:uiPriority w:val="46"/>
    <w:rsid w:val="005563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060">
      <w:bodyDiv w:val="1"/>
      <w:marLeft w:val="0"/>
      <w:marRight w:val="0"/>
      <w:marTop w:val="0"/>
      <w:marBottom w:val="0"/>
      <w:divBdr>
        <w:top w:val="none" w:sz="0" w:space="0" w:color="auto"/>
        <w:left w:val="none" w:sz="0" w:space="0" w:color="auto"/>
        <w:bottom w:val="none" w:sz="0" w:space="0" w:color="auto"/>
        <w:right w:val="none" w:sz="0" w:space="0" w:color="auto"/>
      </w:divBdr>
    </w:div>
    <w:div w:id="4485667">
      <w:bodyDiv w:val="1"/>
      <w:marLeft w:val="0"/>
      <w:marRight w:val="0"/>
      <w:marTop w:val="0"/>
      <w:marBottom w:val="0"/>
      <w:divBdr>
        <w:top w:val="none" w:sz="0" w:space="0" w:color="auto"/>
        <w:left w:val="none" w:sz="0" w:space="0" w:color="auto"/>
        <w:bottom w:val="none" w:sz="0" w:space="0" w:color="auto"/>
        <w:right w:val="none" w:sz="0" w:space="0" w:color="auto"/>
      </w:divBdr>
    </w:div>
    <w:div w:id="14894404">
      <w:bodyDiv w:val="1"/>
      <w:marLeft w:val="0"/>
      <w:marRight w:val="0"/>
      <w:marTop w:val="0"/>
      <w:marBottom w:val="0"/>
      <w:divBdr>
        <w:top w:val="none" w:sz="0" w:space="0" w:color="auto"/>
        <w:left w:val="none" w:sz="0" w:space="0" w:color="auto"/>
        <w:bottom w:val="none" w:sz="0" w:space="0" w:color="auto"/>
        <w:right w:val="none" w:sz="0" w:space="0" w:color="auto"/>
      </w:divBdr>
    </w:div>
    <w:div w:id="29916253">
      <w:bodyDiv w:val="1"/>
      <w:marLeft w:val="0"/>
      <w:marRight w:val="0"/>
      <w:marTop w:val="0"/>
      <w:marBottom w:val="0"/>
      <w:divBdr>
        <w:top w:val="none" w:sz="0" w:space="0" w:color="auto"/>
        <w:left w:val="none" w:sz="0" w:space="0" w:color="auto"/>
        <w:bottom w:val="none" w:sz="0" w:space="0" w:color="auto"/>
        <w:right w:val="none" w:sz="0" w:space="0" w:color="auto"/>
      </w:divBdr>
    </w:div>
    <w:div w:id="58479825">
      <w:bodyDiv w:val="1"/>
      <w:marLeft w:val="0"/>
      <w:marRight w:val="0"/>
      <w:marTop w:val="0"/>
      <w:marBottom w:val="0"/>
      <w:divBdr>
        <w:top w:val="none" w:sz="0" w:space="0" w:color="auto"/>
        <w:left w:val="none" w:sz="0" w:space="0" w:color="auto"/>
        <w:bottom w:val="none" w:sz="0" w:space="0" w:color="auto"/>
        <w:right w:val="none" w:sz="0" w:space="0" w:color="auto"/>
      </w:divBdr>
    </w:div>
    <w:div w:id="110630118">
      <w:bodyDiv w:val="1"/>
      <w:marLeft w:val="0"/>
      <w:marRight w:val="0"/>
      <w:marTop w:val="0"/>
      <w:marBottom w:val="0"/>
      <w:divBdr>
        <w:top w:val="none" w:sz="0" w:space="0" w:color="auto"/>
        <w:left w:val="none" w:sz="0" w:space="0" w:color="auto"/>
        <w:bottom w:val="none" w:sz="0" w:space="0" w:color="auto"/>
        <w:right w:val="none" w:sz="0" w:space="0" w:color="auto"/>
      </w:divBdr>
    </w:div>
    <w:div w:id="127404803">
      <w:bodyDiv w:val="1"/>
      <w:marLeft w:val="0"/>
      <w:marRight w:val="0"/>
      <w:marTop w:val="0"/>
      <w:marBottom w:val="0"/>
      <w:divBdr>
        <w:top w:val="none" w:sz="0" w:space="0" w:color="auto"/>
        <w:left w:val="none" w:sz="0" w:space="0" w:color="auto"/>
        <w:bottom w:val="none" w:sz="0" w:space="0" w:color="auto"/>
        <w:right w:val="none" w:sz="0" w:space="0" w:color="auto"/>
      </w:divBdr>
    </w:div>
    <w:div w:id="169754955">
      <w:bodyDiv w:val="1"/>
      <w:marLeft w:val="0"/>
      <w:marRight w:val="0"/>
      <w:marTop w:val="0"/>
      <w:marBottom w:val="0"/>
      <w:divBdr>
        <w:top w:val="none" w:sz="0" w:space="0" w:color="auto"/>
        <w:left w:val="none" w:sz="0" w:space="0" w:color="auto"/>
        <w:bottom w:val="none" w:sz="0" w:space="0" w:color="auto"/>
        <w:right w:val="none" w:sz="0" w:space="0" w:color="auto"/>
      </w:divBdr>
    </w:div>
    <w:div w:id="181284295">
      <w:bodyDiv w:val="1"/>
      <w:marLeft w:val="0"/>
      <w:marRight w:val="0"/>
      <w:marTop w:val="0"/>
      <w:marBottom w:val="0"/>
      <w:divBdr>
        <w:top w:val="none" w:sz="0" w:space="0" w:color="auto"/>
        <w:left w:val="none" w:sz="0" w:space="0" w:color="auto"/>
        <w:bottom w:val="none" w:sz="0" w:space="0" w:color="auto"/>
        <w:right w:val="none" w:sz="0" w:space="0" w:color="auto"/>
      </w:divBdr>
    </w:div>
    <w:div w:id="183440396">
      <w:bodyDiv w:val="1"/>
      <w:marLeft w:val="0"/>
      <w:marRight w:val="0"/>
      <w:marTop w:val="0"/>
      <w:marBottom w:val="0"/>
      <w:divBdr>
        <w:top w:val="none" w:sz="0" w:space="0" w:color="auto"/>
        <w:left w:val="none" w:sz="0" w:space="0" w:color="auto"/>
        <w:bottom w:val="none" w:sz="0" w:space="0" w:color="auto"/>
        <w:right w:val="none" w:sz="0" w:space="0" w:color="auto"/>
      </w:divBdr>
    </w:div>
    <w:div w:id="190144250">
      <w:bodyDiv w:val="1"/>
      <w:marLeft w:val="0"/>
      <w:marRight w:val="0"/>
      <w:marTop w:val="0"/>
      <w:marBottom w:val="0"/>
      <w:divBdr>
        <w:top w:val="none" w:sz="0" w:space="0" w:color="auto"/>
        <w:left w:val="none" w:sz="0" w:space="0" w:color="auto"/>
        <w:bottom w:val="none" w:sz="0" w:space="0" w:color="auto"/>
        <w:right w:val="none" w:sz="0" w:space="0" w:color="auto"/>
      </w:divBdr>
    </w:div>
    <w:div w:id="207492636">
      <w:bodyDiv w:val="1"/>
      <w:marLeft w:val="0"/>
      <w:marRight w:val="0"/>
      <w:marTop w:val="0"/>
      <w:marBottom w:val="0"/>
      <w:divBdr>
        <w:top w:val="none" w:sz="0" w:space="0" w:color="auto"/>
        <w:left w:val="none" w:sz="0" w:space="0" w:color="auto"/>
        <w:bottom w:val="none" w:sz="0" w:space="0" w:color="auto"/>
        <w:right w:val="none" w:sz="0" w:space="0" w:color="auto"/>
      </w:divBdr>
    </w:div>
    <w:div w:id="269943816">
      <w:bodyDiv w:val="1"/>
      <w:marLeft w:val="0"/>
      <w:marRight w:val="0"/>
      <w:marTop w:val="0"/>
      <w:marBottom w:val="0"/>
      <w:divBdr>
        <w:top w:val="none" w:sz="0" w:space="0" w:color="auto"/>
        <w:left w:val="none" w:sz="0" w:space="0" w:color="auto"/>
        <w:bottom w:val="none" w:sz="0" w:space="0" w:color="auto"/>
        <w:right w:val="none" w:sz="0" w:space="0" w:color="auto"/>
      </w:divBdr>
    </w:div>
    <w:div w:id="313341319">
      <w:bodyDiv w:val="1"/>
      <w:marLeft w:val="0"/>
      <w:marRight w:val="0"/>
      <w:marTop w:val="0"/>
      <w:marBottom w:val="0"/>
      <w:divBdr>
        <w:top w:val="none" w:sz="0" w:space="0" w:color="auto"/>
        <w:left w:val="none" w:sz="0" w:space="0" w:color="auto"/>
        <w:bottom w:val="none" w:sz="0" w:space="0" w:color="auto"/>
        <w:right w:val="none" w:sz="0" w:space="0" w:color="auto"/>
      </w:divBdr>
    </w:div>
    <w:div w:id="366026147">
      <w:bodyDiv w:val="1"/>
      <w:marLeft w:val="0"/>
      <w:marRight w:val="0"/>
      <w:marTop w:val="0"/>
      <w:marBottom w:val="0"/>
      <w:divBdr>
        <w:top w:val="none" w:sz="0" w:space="0" w:color="auto"/>
        <w:left w:val="none" w:sz="0" w:space="0" w:color="auto"/>
        <w:bottom w:val="none" w:sz="0" w:space="0" w:color="auto"/>
        <w:right w:val="none" w:sz="0" w:space="0" w:color="auto"/>
      </w:divBdr>
    </w:div>
    <w:div w:id="377238890">
      <w:bodyDiv w:val="1"/>
      <w:marLeft w:val="0"/>
      <w:marRight w:val="0"/>
      <w:marTop w:val="0"/>
      <w:marBottom w:val="0"/>
      <w:divBdr>
        <w:top w:val="none" w:sz="0" w:space="0" w:color="auto"/>
        <w:left w:val="none" w:sz="0" w:space="0" w:color="auto"/>
        <w:bottom w:val="none" w:sz="0" w:space="0" w:color="auto"/>
        <w:right w:val="none" w:sz="0" w:space="0" w:color="auto"/>
      </w:divBdr>
    </w:div>
    <w:div w:id="410082408">
      <w:bodyDiv w:val="1"/>
      <w:marLeft w:val="0"/>
      <w:marRight w:val="0"/>
      <w:marTop w:val="0"/>
      <w:marBottom w:val="0"/>
      <w:divBdr>
        <w:top w:val="none" w:sz="0" w:space="0" w:color="auto"/>
        <w:left w:val="none" w:sz="0" w:space="0" w:color="auto"/>
        <w:bottom w:val="none" w:sz="0" w:space="0" w:color="auto"/>
        <w:right w:val="none" w:sz="0" w:space="0" w:color="auto"/>
      </w:divBdr>
    </w:div>
    <w:div w:id="414206458">
      <w:bodyDiv w:val="1"/>
      <w:marLeft w:val="0"/>
      <w:marRight w:val="0"/>
      <w:marTop w:val="0"/>
      <w:marBottom w:val="0"/>
      <w:divBdr>
        <w:top w:val="none" w:sz="0" w:space="0" w:color="auto"/>
        <w:left w:val="none" w:sz="0" w:space="0" w:color="auto"/>
        <w:bottom w:val="none" w:sz="0" w:space="0" w:color="auto"/>
        <w:right w:val="none" w:sz="0" w:space="0" w:color="auto"/>
      </w:divBdr>
    </w:div>
    <w:div w:id="465709801">
      <w:bodyDiv w:val="1"/>
      <w:marLeft w:val="0"/>
      <w:marRight w:val="0"/>
      <w:marTop w:val="0"/>
      <w:marBottom w:val="0"/>
      <w:divBdr>
        <w:top w:val="none" w:sz="0" w:space="0" w:color="auto"/>
        <w:left w:val="none" w:sz="0" w:space="0" w:color="auto"/>
        <w:bottom w:val="none" w:sz="0" w:space="0" w:color="auto"/>
        <w:right w:val="none" w:sz="0" w:space="0" w:color="auto"/>
      </w:divBdr>
    </w:div>
    <w:div w:id="470904567">
      <w:bodyDiv w:val="1"/>
      <w:marLeft w:val="0"/>
      <w:marRight w:val="0"/>
      <w:marTop w:val="0"/>
      <w:marBottom w:val="0"/>
      <w:divBdr>
        <w:top w:val="none" w:sz="0" w:space="0" w:color="auto"/>
        <w:left w:val="none" w:sz="0" w:space="0" w:color="auto"/>
        <w:bottom w:val="none" w:sz="0" w:space="0" w:color="auto"/>
        <w:right w:val="none" w:sz="0" w:space="0" w:color="auto"/>
      </w:divBdr>
    </w:div>
    <w:div w:id="493646749">
      <w:bodyDiv w:val="1"/>
      <w:marLeft w:val="0"/>
      <w:marRight w:val="0"/>
      <w:marTop w:val="0"/>
      <w:marBottom w:val="0"/>
      <w:divBdr>
        <w:top w:val="none" w:sz="0" w:space="0" w:color="auto"/>
        <w:left w:val="none" w:sz="0" w:space="0" w:color="auto"/>
        <w:bottom w:val="none" w:sz="0" w:space="0" w:color="auto"/>
        <w:right w:val="none" w:sz="0" w:space="0" w:color="auto"/>
      </w:divBdr>
    </w:div>
    <w:div w:id="546336632">
      <w:bodyDiv w:val="1"/>
      <w:marLeft w:val="0"/>
      <w:marRight w:val="0"/>
      <w:marTop w:val="0"/>
      <w:marBottom w:val="0"/>
      <w:divBdr>
        <w:top w:val="none" w:sz="0" w:space="0" w:color="auto"/>
        <w:left w:val="none" w:sz="0" w:space="0" w:color="auto"/>
        <w:bottom w:val="none" w:sz="0" w:space="0" w:color="auto"/>
        <w:right w:val="none" w:sz="0" w:space="0" w:color="auto"/>
      </w:divBdr>
    </w:div>
    <w:div w:id="546793743">
      <w:bodyDiv w:val="1"/>
      <w:marLeft w:val="0"/>
      <w:marRight w:val="0"/>
      <w:marTop w:val="0"/>
      <w:marBottom w:val="0"/>
      <w:divBdr>
        <w:top w:val="none" w:sz="0" w:space="0" w:color="auto"/>
        <w:left w:val="none" w:sz="0" w:space="0" w:color="auto"/>
        <w:bottom w:val="none" w:sz="0" w:space="0" w:color="auto"/>
        <w:right w:val="none" w:sz="0" w:space="0" w:color="auto"/>
      </w:divBdr>
    </w:div>
    <w:div w:id="553351772">
      <w:bodyDiv w:val="1"/>
      <w:marLeft w:val="0"/>
      <w:marRight w:val="0"/>
      <w:marTop w:val="0"/>
      <w:marBottom w:val="0"/>
      <w:divBdr>
        <w:top w:val="none" w:sz="0" w:space="0" w:color="auto"/>
        <w:left w:val="none" w:sz="0" w:space="0" w:color="auto"/>
        <w:bottom w:val="none" w:sz="0" w:space="0" w:color="auto"/>
        <w:right w:val="none" w:sz="0" w:space="0" w:color="auto"/>
      </w:divBdr>
    </w:div>
    <w:div w:id="582419457">
      <w:bodyDiv w:val="1"/>
      <w:marLeft w:val="0"/>
      <w:marRight w:val="0"/>
      <w:marTop w:val="0"/>
      <w:marBottom w:val="0"/>
      <w:divBdr>
        <w:top w:val="none" w:sz="0" w:space="0" w:color="auto"/>
        <w:left w:val="none" w:sz="0" w:space="0" w:color="auto"/>
        <w:bottom w:val="none" w:sz="0" w:space="0" w:color="auto"/>
        <w:right w:val="none" w:sz="0" w:space="0" w:color="auto"/>
      </w:divBdr>
    </w:div>
    <w:div w:id="642999774">
      <w:bodyDiv w:val="1"/>
      <w:marLeft w:val="0"/>
      <w:marRight w:val="0"/>
      <w:marTop w:val="0"/>
      <w:marBottom w:val="0"/>
      <w:divBdr>
        <w:top w:val="none" w:sz="0" w:space="0" w:color="auto"/>
        <w:left w:val="none" w:sz="0" w:space="0" w:color="auto"/>
        <w:bottom w:val="none" w:sz="0" w:space="0" w:color="auto"/>
        <w:right w:val="none" w:sz="0" w:space="0" w:color="auto"/>
      </w:divBdr>
    </w:div>
    <w:div w:id="661127975">
      <w:bodyDiv w:val="1"/>
      <w:marLeft w:val="0"/>
      <w:marRight w:val="0"/>
      <w:marTop w:val="0"/>
      <w:marBottom w:val="0"/>
      <w:divBdr>
        <w:top w:val="none" w:sz="0" w:space="0" w:color="auto"/>
        <w:left w:val="none" w:sz="0" w:space="0" w:color="auto"/>
        <w:bottom w:val="none" w:sz="0" w:space="0" w:color="auto"/>
        <w:right w:val="none" w:sz="0" w:space="0" w:color="auto"/>
      </w:divBdr>
    </w:div>
    <w:div w:id="692538503">
      <w:bodyDiv w:val="1"/>
      <w:marLeft w:val="0"/>
      <w:marRight w:val="0"/>
      <w:marTop w:val="0"/>
      <w:marBottom w:val="0"/>
      <w:divBdr>
        <w:top w:val="none" w:sz="0" w:space="0" w:color="auto"/>
        <w:left w:val="none" w:sz="0" w:space="0" w:color="auto"/>
        <w:bottom w:val="none" w:sz="0" w:space="0" w:color="auto"/>
        <w:right w:val="none" w:sz="0" w:space="0" w:color="auto"/>
      </w:divBdr>
    </w:div>
    <w:div w:id="743995929">
      <w:bodyDiv w:val="1"/>
      <w:marLeft w:val="0"/>
      <w:marRight w:val="0"/>
      <w:marTop w:val="0"/>
      <w:marBottom w:val="0"/>
      <w:divBdr>
        <w:top w:val="none" w:sz="0" w:space="0" w:color="auto"/>
        <w:left w:val="none" w:sz="0" w:space="0" w:color="auto"/>
        <w:bottom w:val="none" w:sz="0" w:space="0" w:color="auto"/>
        <w:right w:val="none" w:sz="0" w:space="0" w:color="auto"/>
      </w:divBdr>
    </w:div>
    <w:div w:id="748161426">
      <w:bodyDiv w:val="1"/>
      <w:marLeft w:val="0"/>
      <w:marRight w:val="0"/>
      <w:marTop w:val="0"/>
      <w:marBottom w:val="0"/>
      <w:divBdr>
        <w:top w:val="none" w:sz="0" w:space="0" w:color="auto"/>
        <w:left w:val="none" w:sz="0" w:space="0" w:color="auto"/>
        <w:bottom w:val="none" w:sz="0" w:space="0" w:color="auto"/>
        <w:right w:val="none" w:sz="0" w:space="0" w:color="auto"/>
      </w:divBdr>
    </w:div>
    <w:div w:id="748356044">
      <w:bodyDiv w:val="1"/>
      <w:marLeft w:val="0"/>
      <w:marRight w:val="0"/>
      <w:marTop w:val="0"/>
      <w:marBottom w:val="0"/>
      <w:divBdr>
        <w:top w:val="none" w:sz="0" w:space="0" w:color="auto"/>
        <w:left w:val="none" w:sz="0" w:space="0" w:color="auto"/>
        <w:bottom w:val="none" w:sz="0" w:space="0" w:color="auto"/>
        <w:right w:val="none" w:sz="0" w:space="0" w:color="auto"/>
      </w:divBdr>
    </w:div>
    <w:div w:id="824587887">
      <w:bodyDiv w:val="1"/>
      <w:marLeft w:val="0"/>
      <w:marRight w:val="0"/>
      <w:marTop w:val="0"/>
      <w:marBottom w:val="0"/>
      <w:divBdr>
        <w:top w:val="none" w:sz="0" w:space="0" w:color="auto"/>
        <w:left w:val="none" w:sz="0" w:space="0" w:color="auto"/>
        <w:bottom w:val="none" w:sz="0" w:space="0" w:color="auto"/>
        <w:right w:val="none" w:sz="0" w:space="0" w:color="auto"/>
      </w:divBdr>
    </w:div>
    <w:div w:id="875047722">
      <w:bodyDiv w:val="1"/>
      <w:marLeft w:val="0"/>
      <w:marRight w:val="0"/>
      <w:marTop w:val="0"/>
      <w:marBottom w:val="0"/>
      <w:divBdr>
        <w:top w:val="none" w:sz="0" w:space="0" w:color="auto"/>
        <w:left w:val="none" w:sz="0" w:space="0" w:color="auto"/>
        <w:bottom w:val="none" w:sz="0" w:space="0" w:color="auto"/>
        <w:right w:val="none" w:sz="0" w:space="0" w:color="auto"/>
      </w:divBdr>
    </w:div>
    <w:div w:id="889418088">
      <w:bodyDiv w:val="1"/>
      <w:marLeft w:val="0"/>
      <w:marRight w:val="0"/>
      <w:marTop w:val="0"/>
      <w:marBottom w:val="0"/>
      <w:divBdr>
        <w:top w:val="none" w:sz="0" w:space="0" w:color="auto"/>
        <w:left w:val="none" w:sz="0" w:space="0" w:color="auto"/>
        <w:bottom w:val="none" w:sz="0" w:space="0" w:color="auto"/>
        <w:right w:val="none" w:sz="0" w:space="0" w:color="auto"/>
      </w:divBdr>
    </w:div>
    <w:div w:id="895701366">
      <w:bodyDiv w:val="1"/>
      <w:marLeft w:val="0"/>
      <w:marRight w:val="0"/>
      <w:marTop w:val="0"/>
      <w:marBottom w:val="0"/>
      <w:divBdr>
        <w:top w:val="none" w:sz="0" w:space="0" w:color="auto"/>
        <w:left w:val="none" w:sz="0" w:space="0" w:color="auto"/>
        <w:bottom w:val="none" w:sz="0" w:space="0" w:color="auto"/>
        <w:right w:val="none" w:sz="0" w:space="0" w:color="auto"/>
      </w:divBdr>
    </w:div>
    <w:div w:id="907809923">
      <w:bodyDiv w:val="1"/>
      <w:marLeft w:val="0"/>
      <w:marRight w:val="0"/>
      <w:marTop w:val="0"/>
      <w:marBottom w:val="0"/>
      <w:divBdr>
        <w:top w:val="none" w:sz="0" w:space="0" w:color="auto"/>
        <w:left w:val="none" w:sz="0" w:space="0" w:color="auto"/>
        <w:bottom w:val="none" w:sz="0" w:space="0" w:color="auto"/>
        <w:right w:val="none" w:sz="0" w:space="0" w:color="auto"/>
      </w:divBdr>
    </w:div>
    <w:div w:id="927494587">
      <w:bodyDiv w:val="1"/>
      <w:marLeft w:val="0"/>
      <w:marRight w:val="0"/>
      <w:marTop w:val="0"/>
      <w:marBottom w:val="0"/>
      <w:divBdr>
        <w:top w:val="none" w:sz="0" w:space="0" w:color="auto"/>
        <w:left w:val="none" w:sz="0" w:space="0" w:color="auto"/>
        <w:bottom w:val="none" w:sz="0" w:space="0" w:color="auto"/>
        <w:right w:val="none" w:sz="0" w:space="0" w:color="auto"/>
      </w:divBdr>
    </w:div>
    <w:div w:id="932937355">
      <w:bodyDiv w:val="1"/>
      <w:marLeft w:val="0"/>
      <w:marRight w:val="0"/>
      <w:marTop w:val="0"/>
      <w:marBottom w:val="0"/>
      <w:divBdr>
        <w:top w:val="none" w:sz="0" w:space="0" w:color="auto"/>
        <w:left w:val="none" w:sz="0" w:space="0" w:color="auto"/>
        <w:bottom w:val="none" w:sz="0" w:space="0" w:color="auto"/>
        <w:right w:val="none" w:sz="0" w:space="0" w:color="auto"/>
      </w:divBdr>
    </w:div>
    <w:div w:id="939220599">
      <w:bodyDiv w:val="1"/>
      <w:marLeft w:val="0"/>
      <w:marRight w:val="0"/>
      <w:marTop w:val="0"/>
      <w:marBottom w:val="0"/>
      <w:divBdr>
        <w:top w:val="none" w:sz="0" w:space="0" w:color="auto"/>
        <w:left w:val="none" w:sz="0" w:space="0" w:color="auto"/>
        <w:bottom w:val="none" w:sz="0" w:space="0" w:color="auto"/>
        <w:right w:val="none" w:sz="0" w:space="0" w:color="auto"/>
      </w:divBdr>
    </w:div>
    <w:div w:id="945845494">
      <w:bodyDiv w:val="1"/>
      <w:marLeft w:val="0"/>
      <w:marRight w:val="0"/>
      <w:marTop w:val="0"/>
      <w:marBottom w:val="0"/>
      <w:divBdr>
        <w:top w:val="none" w:sz="0" w:space="0" w:color="auto"/>
        <w:left w:val="none" w:sz="0" w:space="0" w:color="auto"/>
        <w:bottom w:val="none" w:sz="0" w:space="0" w:color="auto"/>
        <w:right w:val="none" w:sz="0" w:space="0" w:color="auto"/>
      </w:divBdr>
    </w:div>
    <w:div w:id="945886787">
      <w:bodyDiv w:val="1"/>
      <w:marLeft w:val="0"/>
      <w:marRight w:val="0"/>
      <w:marTop w:val="0"/>
      <w:marBottom w:val="0"/>
      <w:divBdr>
        <w:top w:val="none" w:sz="0" w:space="0" w:color="auto"/>
        <w:left w:val="none" w:sz="0" w:space="0" w:color="auto"/>
        <w:bottom w:val="none" w:sz="0" w:space="0" w:color="auto"/>
        <w:right w:val="none" w:sz="0" w:space="0" w:color="auto"/>
      </w:divBdr>
    </w:div>
    <w:div w:id="977610156">
      <w:bodyDiv w:val="1"/>
      <w:marLeft w:val="0"/>
      <w:marRight w:val="0"/>
      <w:marTop w:val="0"/>
      <w:marBottom w:val="0"/>
      <w:divBdr>
        <w:top w:val="none" w:sz="0" w:space="0" w:color="auto"/>
        <w:left w:val="none" w:sz="0" w:space="0" w:color="auto"/>
        <w:bottom w:val="none" w:sz="0" w:space="0" w:color="auto"/>
        <w:right w:val="none" w:sz="0" w:space="0" w:color="auto"/>
      </w:divBdr>
    </w:div>
    <w:div w:id="986208376">
      <w:bodyDiv w:val="1"/>
      <w:marLeft w:val="0"/>
      <w:marRight w:val="0"/>
      <w:marTop w:val="0"/>
      <w:marBottom w:val="0"/>
      <w:divBdr>
        <w:top w:val="none" w:sz="0" w:space="0" w:color="auto"/>
        <w:left w:val="none" w:sz="0" w:space="0" w:color="auto"/>
        <w:bottom w:val="none" w:sz="0" w:space="0" w:color="auto"/>
        <w:right w:val="none" w:sz="0" w:space="0" w:color="auto"/>
      </w:divBdr>
    </w:div>
    <w:div w:id="996960362">
      <w:bodyDiv w:val="1"/>
      <w:marLeft w:val="0"/>
      <w:marRight w:val="0"/>
      <w:marTop w:val="0"/>
      <w:marBottom w:val="0"/>
      <w:divBdr>
        <w:top w:val="none" w:sz="0" w:space="0" w:color="auto"/>
        <w:left w:val="none" w:sz="0" w:space="0" w:color="auto"/>
        <w:bottom w:val="none" w:sz="0" w:space="0" w:color="auto"/>
        <w:right w:val="none" w:sz="0" w:space="0" w:color="auto"/>
      </w:divBdr>
    </w:div>
    <w:div w:id="1068116289">
      <w:bodyDiv w:val="1"/>
      <w:marLeft w:val="0"/>
      <w:marRight w:val="0"/>
      <w:marTop w:val="0"/>
      <w:marBottom w:val="0"/>
      <w:divBdr>
        <w:top w:val="none" w:sz="0" w:space="0" w:color="auto"/>
        <w:left w:val="none" w:sz="0" w:space="0" w:color="auto"/>
        <w:bottom w:val="none" w:sz="0" w:space="0" w:color="auto"/>
        <w:right w:val="none" w:sz="0" w:space="0" w:color="auto"/>
      </w:divBdr>
    </w:div>
    <w:div w:id="1085568573">
      <w:bodyDiv w:val="1"/>
      <w:marLeft w:val="0"/>
      <w:marRight w:val="0"/>
      <w:marTop w:val="0"/>
      <w:marBottom w:val="0"/>
      <w:divBdr>
        <w:top w:val="none" w:sz="0" w:space="0" w:color="auto"/>
        <w:left w:val="none" w:sz="0" w:space="0" w:color="auto"/>
        <w:bottom w:val="none" w:sz="0" w:space="0" w:color="auto"/>
        <w:right w:val="none" w:sz="0" w:space="0" w:color="auto"/>
      </w:divBdr>
    </w:div>
    <w:div w:id="1087775659">
      <w:bodyDiv w:val="1"/>
      <w:marLeft w:val="0"/>
      <w:marRight w:val="0"/>
      <w:marTop w:val="0"/>
      <w:marBottom w:val="0"/>
      <w:divBdr>
        <w:top w:val="none" w:sz="0" w:space="0" w:color="auto"/>
        <w:left w:val="none" w:sz="0" w:space="0" w:color="auto"/>
        <w:bottom w:val="none" w:sz="0" w:space="0" w:color="auto"/>
        <w:right w:val="none" w:sz="0" w:space="0" w:color="auto"/>
      </w:divBdr>
    </w:div>
    <w:div w:id="1119957045">
      <w:bodyDiv w:val="1"/>
      <w:marLeft w:val="0"/>
      <w:marRight w:val="0"/>
      <w:marTop w:val="0"/>
      <w:marBottom w:val="0"/>
      <w:divBdr>
        <w:top w:val="none" w:sz="0" w:space="0" w:color="auto"/>
        <w:left w:val="none" w:sz="0" w:space="0" w:color="auto"/>
        <w:bottom w:val="none" w:sz="0" w:space="0" w:color="auto"/>
        <w:right w:val="none" w:sz="0" w:space="0" w:color="auto"/>
      </w:divBdr>
    </w:div>
    <w:div w:id="1130636333">
      <w:bodyDiv w:val="1"/>
      <w:marLeft w:val="0"/>
      <w:marRight w:val="0"/>
      <w:marTop w:val="0"/>
      <w:marBottom w:val="0"/>
      <w:divBdr>
        <w:top w:val="none" w:sz="0" w:space="0" w:color="auto"/>
        <w:left w:val="none" w:sz="0" w:space="0" w:color="auto"/>
        <w:bottom w:val="none" w:sz="0" w:space="0" w:color="auto"/>
        <w:right w:val="none" w:sz="0" w:space="0" w:color="auto"/>
      </w:divBdr>
    </w:div>
    <w:div w:id="1176771100">
      <w:bodyDiv w:val="1"/>
      <w:marLeft w:val="0"/>
      <w:marRight w:val="0"/>
      <w:marTop w:val="0"/>
      <w:marBottom w:val="0"/>
      <w:divBdr>
        <w:top w:val="none" w:sz="0" w:space="0" w:color="auto"/>
        <w:left w:val="none" w:sz="0" w:space="0" w:color="auto"/>
        <w:bottom w:val="none" w:sz="0" w:space="0" w:color="auto"/>
        <w:right w:val="none" w:sz="0" w:space="0" w:color="auto"/>
      </w:divBdr>
    </w:div>
    <w:div w:id="1181508207">
      <w:bodyDiv w:val="1"/>
      <w:marLeft w:val="0"/>
      <w:marRight w:val="0"/>
      <w:marTop w:val="0"/>
      <w:marBottom w:val="0"/>
      <w:divBdr>
        <w:top w:val="none" w:sz="0" w:space="0" w:color="auto"/>
        <w:left w:val="none" w:sz="0" w:space="0" w:color="auto"/>
        <w:bottom w:val="none" w:sz="0" w:space="0" w:color="auto"/>
        <w:right w:val="none" w:sz="0" w:space="0" w:color="auto"/>
      </w:divBdr>
    </w:div>
    <w:div w:id="1183476671">
      <w:bodyDiv w:val="1"/>
      <w:marLeft w:val="0"/>
      <w:marRight w:val="0"/>
      <w:marTop w:val="0"/>
      <w:marBottom w:val="0"/>
      <w:divBdr>
        <w:top w:val="none" w:sz="0" w:space="0" w:color="auto"/>
        <w:left w:val="none" w:sz="0" w:space="0" w:color="auto"/>
        <w:bottom w:val="none" w:sz="0" w:space="0" w:color="auto"/>
        <w:right w:val="none" w:sz="0" w:space="0" w:color="auto"/>
      </w:divBdr>
    </w:div>
    <w:div w:id="1232425557">
      <w:bodyDiv w:val="1"/>
      <w:marLeft w:val="0"/>
      <w:marRight w:val="0"/>
      <w:marTop w:val="0"/>
      <w:marBottom w:val="0"/>
      <w:divBdr>
        <w:top w:val="none" w:sz="0" w:space="0" w:color="auto"/>
        <w:left w:val="none" w:sz="0" w:space="0" w:color="auto"/>
        <w:bottom w:val="none" w:sz="0" w:space="0" w:color="auto"/>
        <w:right w:val="none" w:sz="0" w:space="0" w:color="auto"/>
      </w:divBdr>
    </w:div>
    <w:div w:id="1236359156">
      <w:bodyDiv w:val="1"/>
      <w:marLeft w:val="0"/>
      <w:marRight w:val="0"/>
      <w:marTop w:val="0"/>
      <w:marBottom w:val="0"/>
      <w:divBdr>
        <w:top w:val="none" w:sz="0" w:space="0" w:color="auto"/>
        <w:left w:val="none" w:sz="0" w:space="0" w:color="auto"/>
        <w:bottom w:val="none" w:sz="0" w:space="0" w:color="auto"/>
        <w:right w:val="none" w:sz="0" w:space="0" w:color="auto"/>
      </w:divBdr>
    </w:div>
    <w:div w:id="1277248158">
      <w:bodyDiv w:val="1"/>
      <w:marLeft w:val="0"/>
      <w:marRight w:val="0"/>
      <w:marTop w:val="0"/>
      <w:marBottom w:val="0"/>
      <w:divBdr>
        <w:top w:val="none" w:sz="0" w:space="0" w:color="auto"/>
        <w:left w:val="none" w:sz="0" w:space="0" w:color="auto"/>
        <w:bottom w:val="none" w:sz="0" w:space="0" w:color="auto"/>
        <w:right w:val="none" w:sz="0" w:space="0" w:color="auto"/>
      </w:divBdr>
    </w:div>
    <w:div w:id="1294672579">
      <w:bodyDiv w:val="1"/>
      <w:marLeft w:val="0"/>
      <w:marRight w:val="0"/>
      <w:marTop w:val="0"/>
      <w:marBottom w:val="0"/>
      <w:divBdr>
        <w:top w:val="none" w:sz="0" w:space="0" w:color="auto"/>
        <w:left w:val="none" w:sz="0" w:space="0" w:color="auto"/>
        <w:bottom w:val="none" w:sz="0" w:space="0" w:color="auto"/>
        <w:right w:val="none" w:sz="0" w:space="0" w:color="auto"/>
      </w:divBdr>
    </w:div>
    <w:div w:id="1332566032">
      <w:bodyDiv w:val="1"/>
      <w:marLeft w:val="0"/>
      <w:marRight w:val="0"/>
      <w:marTop w:val="0"/>
      <w:marBottom w:val="0"/>
      <w:divBdr>
        <w:top w:val="none" w:sz="0" w:space="0" w:color="auto"/>
        <w:left w:val="none" w:sz="0" w:space="0" w:color="auto"/>
        <w:bottom w:val="none" w:sz="0" w:space="0" w:color="auto"/>
        <w:right w:val="none" w:sz="0" w:space="0" w:color="auto"/>
      </w:divBdr>
    </w:div>
    <w:div w:id="1334645608">
      <w:bodyDiv w:val="1"/>
      <w:marLeft w:val="0"/>
      <w:marRight w:val="0"/>
      <w:marTop w:val="0"/>
      <w:marBottom w:val="0"/>
      <w:divBdr>
        <w:top w:val="none" w:sz="0" w:space="0" w:color="auto"/>
        <w:left w:val="none" w:sz="0" w:space="0" w:color="auto"/>
        <w:bottom w:val="none" w:sz="0" w:space="0" w:color="auto"/>
        <w:right w:val="none" w:sz="0" w:space="0" w:color="auto"/>
      </w:divBdr>
    </w:div>
    <w:div w:id="1346901051">
      <w:bodyDiv w:val="1"/>
      <w:marLeft w:val="0"/>
      <w:marRight w:val="0"/>
      <w:marTop w:val="0"/>
      <w:marBottom w:val="0"/>
      <w:divBdr>
        <w:top w:val="none" w:sz="0" w:space="0" w:color="auto"/>
        <w:left w:val="none" w:sz="0" w:space="0" w:color="auto"/>
        <w:bottom w:val="none" w:sz="0" w:space="0" w:color="auto"/>
        <w:right w:val="none" w:sz="0" w:space="0" w:color="auto"/>
      </w:divBdr>
    </w:div>
    <w:div w:id="1391657806">
      <w:bodyDiv w:val="1"/>
      <w:marLeft w:val="0"/>
      <w:marRight w:val="0"/>
      <w:marTop w:val="0"/>
      <w:marBottom w:val="0"/>
      <w:divBdr>
        <w:top w:val="none" w:sz="0" w:space="0" w:color="auto"/>
        <w:left w:val="none" w:sz="0" w:space="0" w:color="auto"/>
        <w:bottom w:val="none" w:sz="0" w:space="0" w:color="auto"/>
        <w:right w:val="none" w:sz="0" w:space="0" w:color="auto"/>
      </w:divBdr>
    </w:div>
    <w:div w:id="1407414407">
      <w:bodyDiv w:val="1"/>
      <w:marLeft w:val="0"/>
      <w:marRight w:val="0"/>
      <w:marTop w:val="0"/>
      <w:marBottom w:val="0"/>
      <w:divBdr>
        <w:top w:val="none" w:sz="0" w:space="0" w:color="auto"/>
        <w:left w:val="none" w:sz="0" w:space="0" w:color="auto"/>
        <w:bottom w:val="none" w:sz="0" w:space="0" w:color="auto"/>
        <w:right w:val="none" w:sz="0" w:space="0" w:color="auto"/>
      </w:divBdr>
    </w:div>
    <w:div w:id="1441338710">
      <w:bodyDiv w:val="1"/>
      <w:marLeft w:val="0"/>
      <w:marRight w:val="0"/>
      <w:marTop w:val="0"/>
      <w:marBottom w:val="0"/>
      <w:divBdr>
        <w:top w:val="none" w:sz="0" w:space="0" w:color="auto"/>
        <w:left w:val="none" w:sz="0" w:space="0" w:color="auto"/>
        <w:bottom w:val="none" w:sz="0" w:space="0" w:color="auto"/>
        <w:right w:val="none" w:sz="0" w:space="0" w:color="auto"/>
      </w:divBdr>
    </w:div>
    <w:div w:id="1456411525">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4879931">
      <w:bodyDiv w:val="1"/>
      <w:marLeft w:val="0"/>
      <w:marRight w:val="0"/>
      <w:marTop w:val="0"/>
      <w:marBottom w:val="0"/>
      <w:divBdr>
        <w:top w:val="none" w:sz="0" w:space="0" w:color="auto"/>
        <w:left w:val="none" w:sz="0" w:space="0" w:color="auto"/>
        <w:bottom w:val="none" w:sz="0" w:space="0" w:color="auto"/>
        <w:right w:val="none" w:sz="0" w:space="0" w:color="auto"/>
      </w:divBdr>
    </w:div>
    <w:div w:id="1527907257">
      <w:bodyDiv w:val="1"/>
      <w:marLeft w:val="0"/>
      <w:marRight w:val="0"/>
      <w:marTop w:val="0"/>
      <w:marBottom w:val="0"/>
      <w:divBdr>
        <w:top w:val="none" w:sz="0" w:space="0" w:color="auto"/>
        <w:left w:val="none" w:sz="0" w:space="0" w:color="auto"/>
        <w:bottom w:val="none" w:sz="0" w:space="0" w:color="auto"/>
        <w:right w:val="none" w:sz="0" w:space="0" w:color="auto"/>
      </w:divBdr>
    </w:div>
    <w:div w:id="1537280895">
      <w:bodyDiv w:val="1"/>
      <w:marLeft w:val="0"/>
      <w:marRight w:val="0"/>
      <w:marTop w:val="0"/>
      <w:marBottom w:val="0"/>
      <w:divBdr>
        <w:top w:val="none" w:sz="0" w:space="0" w:color="auto"/>
        <w:left w:val="none" w:sz="0" w:space="0" w:color="auto"/>
        <w:bottom w:val="none" w:sz="0" w:space="0" w:color="auto"/>
        <w:right w:val="none" w:sz="0" w:space="0" w:color="auto"/>
      </w:divBdr>
    </w:div>
    <w:div w:id="1561936127">
      <w:bodyDiv w:val="1"/>
      <w:marLeft w:val="0"/>
      <w:marRight w:val="0"/>
      <w:marTop w:val="0"/>
      <w:marBottom w:val="0"/>
      <w:divBdr>
        <w:top w:val="none" w:sz="0" w:space="0" w:color="auto"/>
        <w:left w:val="none" w:sz="0" w:space="0" w:color="auto"/>
        <w:bottom w:val="none" w:sz="0" w:space="0" w:color="auto"/>
        <w:right w:val="none" w:sz="0" w:space="0" w:color="auto"/>
      </w:divBdr>
    </w:div>
    <w:div w:id="1605258963">
      <w:bodyDiv w:val="1"/>
      <w:marLeft w:val="0"/>
      <w:marRight w:val="0"/>
      <w:marTop w:val="0"/>
      <w:marBottom w:val="0"/>
      <w:divBdr>
        <w:top w:val="none" w:sz="0" w:space="0" w:color="auto"/>
        <w:left w:val="none" w:sz="0" w:space="0" w:color="auto"/>
        <w:bottom w:val="none" w:sz="0" w:space="0" w:color="auto"/>
        <w:right w:val="none" w:sz="0" w:space="0" w:color="auto"/>
      </w:divBdr>
    </w:div>
    <w:div w:id="1606033289">
      <w:bodyDiv w:val="1"/>
      <w:marLeft w:val="0"/>
      <w:marRight w:val="0"/>
      <w:marTop w:val="0"/>
      <w:marBottom w:val="0"/>
      <w:divBdr>
        <w:top w:val="none" w:sz="0" w:space="0" w:color="auto"/>
        <w:left w:val="none" w:sz="0" w:space="0" w:color="auto"/>
        <w:bottom w:val="none" w:sz="0" w:space="0" w:color="auto"/>
        <w:right w:val="none" w:sz="0" w:space="0" w:color="auto"/>
      </w:divBdr>
    </w:div>
    <w:div w:id="1660763745">
      <w:bodyDiv w:val="1"/>
      <w:marLeft w:val="0"/>
      <w:marRight w:val="0"/>
      <w:marTop w:val="0"/>
      <w:marBottom w:val="0"/>
      <w:divBdr>
        <w:top w:val="none" w:sz="0" w:space="0" w:color="auto"/>
        <w:left w:val="none" w:sz="0" w:space="0" w:color="auto"/>
        <w:bottom w:val="none" w:sz="0" w:space="0" w:color="auto"/>
        <w:right w:val="none" w:sz="0" w:space="0" w:color="auto"/>
      </w:divBdr>
    </w:div>
    <w:div w:id="1716196317">
      <w:bodyDiv w:val="1"/>
      <w:marLeft w:val="0"/>
      <w:marRight w:val="0"/>
      <w:marTop w:val="0"/>
      <w:marBottom w:val="0"/>
      <w:divBdr>
        <w:top w:val="none" w:sz="0" w:space="0" w:color="auto"/>
        <w:left w:val="none" w:sz="0" w:space="0" w:color="auto"/>
        <w:bottom w:val="none" w:sz="0" w:space="0" w:color="auto"/>
        <w:right w:val="none" w:sz="0" w:space="0" w:color="auto"/>
      </w:divBdr>
    </w:div>
    <w:div w:id="1750424495">
      <w:bodyDiv w:val="1"/>
      <w:marLeft w:val="0"/>
      <w:marRight w:val="0"/>
      <w:marTop w:val="0"/>
      <w:marBottom w:val="0"/>
      <w:divBdr>
        <w:top w:val="none" w:sz="0" w:space="0" w:color="auto"/>
        <w:left w:val="none" w:sz="0" w:space="0" w:color="auto"/>
        <w:bottom w:val="none" w:sz="0" w:space="0" w:color="auto"/>
        <w:right w:val="none" w:sz="0" w:space="0" w:color="auto"/>
      </w:divBdr>
    </w:div>
    <w:div w:id="1792702053">
      <w:bodyDiv w:val="1"/>
      <w:marLeft w:val="0"/>
      <w:marRight w:val="0"/>
      <w:marTop w:val="0"/>
      <w:marBottom w:val="0"/>
      <w:divBdr>
        <w:top w:val="none" w:sz="0" w:space="0" w:color="auto"/>
        <w:left w:val="none" w:sz="0" w:space="0" w:color="auto"/>
        <w:bottom w:val="none" w:sz="0" w:space="0" w:color="auto"/>
        <w:right w:val="none" w:sz="0" w:space="0" w:color="auto"/>
      </w:divBdr>
    </w:div>
    <w:div w:id="1818108144">
      <w:bodyDiv w:val="1"/>
      <w:marLeft w:val="0"/>
      <w:marRight w:val="0"/>
      <w:marTop w:val="0"/>
      <w:marBottom w:val="0"/>
      <w:divBdr>
        <w:top w:val="none" w:sz="0" w:space="0" w:color="auto"/>
        <w:left w:val="none" w:sz="0" w:space="0" w:color="auto"/>
        <w:bottom w:val="none" w:sz="0" w:space="0" w:color="auto"/>
        <w:right w:val="none" w:sz="0" w:space="0" w:color="auto"/>
      </w:divBdr>
    </w:div>
    <w:div w:id="1819030577">
      <w:bodyDiv w:val="1"/>
      <w:marLeft w:val="0"/>
      <w:marRight w:val="0"/>
      <w:marTop w:val="0"/>
      <w:marBottom w:val="0"/>
      <w:divBdr>
        <w:top w:val="none" w:sz="0" w:space="0" w:color="auto"/>
        <w:left w:val="none" w:sz="0" w:space="0" w:color="auto"/>
        <w:bottom w:val="none" w:sz="0" w:space="0" w:color="auto"/>
        <w:right w:val="none" w:sz="0" w:space="0" w:color="auto"/>
      </w:divBdr>
    </w:div>
    <w:div w:id="1895383721">
      <w:bodyDiv w:val="1"/>
      <w:marLeft w:val="0"/>
      <w:marRight w:val="0"/>
      <w:marTop w:val="0"/>
      <w:marBottom w:val="0"/>
      <w:divBdr>
        <w:top w:val="none" w:sz="0" w:space="0" w:color="auto"/>
        <w:left w:val="none" w:sz="0" w:space="0" w:color="auto"/>
        <w:bottom w:val="none" w:sz="0" w:space="0" w:color="auto"/>
        <w:right w:val="none" w:sz="0" w:space="0" w:color="auto"/>
      </w:divBdr>
    </w:div>
    <w:div w:id="1951740849">
      <w:bodyDiv w:val="1"/>
      <w:marLeft w:val="0"/>
      <w:marRight w:val="0"/>
      <w:marTop w:val="0"/>
      <w:marBottom w:val="0"/>
      <w:divBdr>
        <w:top w:val="none" w:sz="0" w:space="0" w:color="auto"/>
        <w:left w:val="none" w:sz="0" w:space="0" w:color="auto"/>
        <w:bottom w:val="none" w:sz="0" w:space="0" w:color="auto"/>
        <w:right w:val="none" w:sz="0" w:space="0" w:color="auto"/>
      </w:divBdr>
    </w:div>
    <w:div w:id="1988320946">
      <w:bodyDiv w:val="1"/>
      <w:marLeft w:val="0"/>
      <w:marRight w:val="0"/>
      <w:marTop w:val="0"/>
      <w:marBottom w:val="0"/>
      <w:divBdr>
        <w:top w:val="none" w:sz="0" w:space="0" w:color="auto"/>
        <w:left w:val="none" w:sz="0" w:space="0" w:color="auto"/>
        <w:bottom w:val="none" w:sz="0" w:space="0" w:color="auto"/>
        <w:right w:val="none" w:sz="0" w:space="0" w:color="auto"/>
      </w:divBdr>
    </w:div>
    <w:div w:id="1995134757">
      <w:bodyDiv w:val="1"/>
      <w:marLeft w:val="0"/>
      <w:marRight w:val="0"/>
      <w:marTop w:val="0"/>
      <w:marBottom w:val="0"/>
      <w:divBdr>
        <w:top w:val="none" w:sz="0" w:space="0" w:color="auto"/>
        <w:left w:val="none" w:sz="0" w:space="0" w:color="auto"/>
        <w:bottom w:val="none" w:sz="0" w:space="0" w:color="auto"/>
        <w:right w:val="none" w:sz="0" w:space="0" w:color="auto"/>
      </w:divBdr>
    </w:div>
    <w:div w:id="2027443306">
      <w:bodyDiv w:val="1"/>
      <w:marLeft w:val="0"/>
      <w:marRight w:val="0"/>
      <w:marTop w:val="0"/>
      <w:marBottom w:val="0"/>
      <w:divBdr>
        <w:top w:val="none" w:sz="0" w:space="0" w:color="auto"/>
        <w:left w:val="none" w:sz="0" w:space="0" w:color="auto"/>
        <w:bottom w:val="none" w:sz="0" w:space="0" w:color="auto"/>
        <w:right w:val="none" w:sz="0" w:space="0" w:color="auto"/>
      </w:divBdr>
    </w:div>
    <w:div w:id="2040473692">
      <w:bodyDiv w:val="1"/>
      <w:marLeft w:val="0"/>
      <w:marRight w:val="0"/>
      <w:marTop w:val="0"/>
      <w:marBottom w:val="0"/>
      <w:divBdr>
        <w:top w:val="none" w:sz="0" w:space="0" w:color="auto"/>
        <w:left w:val="none" w:sz="0" w:space="0" w:color="auto"/>
        <w:bottom w:val="none" w:sz="0" w:space="0" w:color="auto"/>
        <w:right w:val="none" w:sz="0" w:space="0" w:color="auto"/>
      </w:divBdr>
    </w:div>
    <w:div w:id="2053571504">
      <w:bodyDiv w:val="1"/>
      <w:marLeft w:val="0"/>
      <w:marRight w:val="0"/>
      <w:marTop w:val="0"/>
      <w:marBottom w:val="0"/>
      <w:divBdr>
        <w:top w:val="none" w:sz="0" w:space="0" w:color="auto"/>
        <w:left w:val="none" w:sz="0" w:space="0" w:color="auto"/>
        <w:bottom w:val="none" w:sz="0" w:space="0" w:color="auto"/>
        <w:right w:val="none" w:sz="0" w:space="0" w:color="auto"/>
      </w:divBdr>
    </w:div>
    <w:div w:id="2054230920">
      <w:bodyDiv w:val="1"/>
      <w:marLeft w:val="0"/>
      <w:marRight w:val="0"/>
      <w:marTop w:val="0"/>
      <w:marBottom w:val="0"/>
      <w:divBdr>
        <w:top w:val="none" w:sz="0" w:space="0" w:color="auto"/>
        <w:left w:val="none" w:sz="0" w:space="0" w:color="auto"/>
        <w:bottom w:val="none" w:sz="0" w:space="0" w:color="auto"/>
        <w:right w:val="none" w:sz="0" w:space="0" w:color="auto"/>
      </w:divBdr>
    </w:div>
    <w:div w:id="2115661026">
      <w:bodyDiv w:val="1"/>
      <w:marLeft w:val="0"/>
      <w:marRight w:val="0"/>
      <w:marTop w:val="0"/>
      <w:marBottom w:val="0"/>
      <w:divBdr>
        <w:top w:val="none" w:sz="0" w:space="0" w:color="auto"/>
        <w:left w:val="none" w:sz="0" w:space="0" w:color="auto"/>
        <w:bottom w:val="none" w:sz="0" w:space="0" w:color="auto"/>
        <w:right w:val="none" w:sz="0" w:space="0" w:color="auto"/>
      </w:divBdr>
    </w:div>
    <w:div w:id="2134858367">
      <w:bodyDiv w:val="1"/>
      <w:marLeft w:val="0"/>
      <w:marRight w:val="0"/>
      <w:marTop w:val="0"/>
      <w:marBottom w:val="0"/>
      <w:divBdr>
        <w:top w:val="none" w:sz="0" w:space="0" w:color="auto"/>
        <w:left w:val="none" w:sz="0" w:space="0" w:color="auto"/>
        <w:bottom w:val="none" w:sz="0" w:space="0" w:color="auto"/>
        <w:right w:val="none" w:sz="0" w:space="0" w:color="auto"/>
      </w:divBdr>
    </w:div>
    <w:div w:id="2137867833">
      <w:bodyDiv w:val="1"/>
      <w:marLeft w:val="0"/>
      <w:marRight w:val="0"/>
      <w:marTop w:val="0"/>
      <w:marBottom w:val="0"/>
      <w:divBdr>
        <w:top w:val="none" w:sz="0" w:space="0" w:color="auto"/>
        <w:left w:val="none" w:sz="0" w:space="0" w:color="auto"/>
        <w:bottom w:val="none" w:sz="0" w:space="0" w:color="auto"/>
        <w:right w:val="none" w:sz="0" w:space="0" w:color="auto"/>
      </w:divBdr>
    </w:div>
    <w:div w:id="21459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areaChart>
        <c:grouping val="stacked"/>
        <c:varyColors val="0"/>
        <c:ser>
          <c:idx val="0"/>
          <c:order val="0"/>
          <c:spPr>
            <a:solidFill>
              <a:schemeClr val="accent1"/>
            </a:solidFill>
            <a:ln>
              <a:noFill/>
            </a:ln>
            <a:effectLst/>
          </c:spPr>
          <c:cat>
            <c:multiLvlStrRef>
              <c:f>LCW147_IspisPlanProracuna!$A$16:$B$23</c:f>
              <c:multiLvlStrCache>
                <c:ptCount val="8"/>
                <c:lvl>
                  <c:pt idx="0">
                    <c:v>SVEUKUPNO </c:v>
                  </c:pt>
                  <c:pt idx="1">
                    <c:v>OPĆI PRIHODI I PRIMICI</c:v>
                  </c:pt>
                  <c:pt idx="2">
                    <c:v>VLASTITI PRIHODI</c:v>
                  </c:pt>
                  <c:pt idx="3">
                    <c:v>PRIHODI ZA POSEBNE NAMJENE</c:v>
                  </c:pt>
                  <c:pt idx="4">
                    <c:v>POMOĆI</c:v>
                  </c:pt>
                  <c:pt idx="5">
                    <c:v>DONACIJE</c:v>
                  </c:pt>
                  <c:pt idx="6">
                    <c:v>PRIHODI OD PRODAJE ILI ZAMJENE NEFINANCIIJSKE IMOVINE</c:v>
                  </c:pt>
                  <c:pt idx="7">
                    <c:v>NAMJENSKI PRIMICI</c:v>
                  </c:pt>
                </c:lvl>
                <c:lvl>
                  <c:pt idx="0">
                    <c:v>  </c:v>
                  </c:pt>
                  <c:pt idx="1">
                    <c:v>Izvor   1.</c:v>
                  </c:pt>
                  <c:pt idx="2">
                    <c:v>Izvor   3.</c:v>
                  </c:pt>
                  <c:pt idx="3">
                    <c:v>Izvor   4.</c:v>
                  </c:pt>
                  <c:pt idx="4">
                    <c:v>Izvor   5.</c:v>
                  </c:pt>
                  <c:pt idx="5">
                    <c:v>Izvor   6.</c:v>
                  </c:pt>
                  <c:pt idx="6">
                    <c:v>Izvor   7.</c:v>
                  </c:pt>
                  <c:pt idx="7">
                    <c:v>Izvor   8.</c:v>
                  </c:pt>
                </c:lvl>
              </c:multiLvlStrCache>
            </c:multiLvlStrRef>
          </c:cat>
          <c:val>
            <c:numRef>
              <c:f>LCW147_IspisPlanProracuna!$C$16:$C$23</c:f>
              <c:numCache>
                <c:formatCode>[$-1041A]#,##0.00;\-#,##0.00</c:formatCode>
                <c:ptCount val="8"/>
                <c:pt idx="0">
                  <c:v>9453420</c:v>
                </c:pt>
                <c:pt idx="1">
                  <c:v>1930494</c:v>
                </c:pt>
                <c:pt idx="2">
                  <c:v>24004</c:v>
                </c:pt>
                <c:pt idx="3">
                  <c:v>749883</c:v>
                </c:pt>
                <c:pt idx="4">
                  <c:v>4229364</c:v>
                </c:pt>
                <c:pt idx="5">
                  <c:v>1500</c:v>
                </c:pt>
                <c:pt idx="6">
                  <c:v>10000</c:v>
                </c:pt>
                <c:pt idx="7">
                  <c:v>2508175</c:v>
                </c:pt>
              </c:numCache>
            </c:numRef>
          </c:val>
          <c:extLst>
            <c:ext xmlns:c16="http://schemas.microsoft.com/office/drawing/2014/chart" uri="{C3380CC4-5D6E-409C-BE32-E72D297353CC}">
              <c16:uniqueId val="{00000000-9BD1-491F-9992-AA5F7779EA8D}"/>
            </c:ext>
          </c:extLst>
        </c:ser>
        <c:dLbls>
          <c:showLegendKey val="0"/>
          <c:showVal val="0"/>
          <c:showCatName val="0"/>
          <c:showSerName val="0"/>
          <c:showPercent val="0"/>
          <c:showBubbleSize val="0"/>
        </c:dLbls>
        <c:axId val="1914096303"/>
        <c:axId val="1914099183"/>
      </c:areaChart>
      <c:catAx>
        <c:axId val="191409630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099183"/>
        <c:crosses val="autoZero"/>
        <c:auto val="1"/>
        <c:lblAlgn val="ctr"/>
        <c:lblOffset val="100"/>
        <c:noMultiLvlLbl val="0"/>
      </c:catAx>
      <c:valAx>
        <c:axId val="1914099183"/>
        <c:scaling>
          <c:orientation val="minMax"/>
        </c:scaling>
        <c:delete val="0"/>
        <c:axPos val="l"/>
        <c:majorGridlines>
          <c:spPr>
            <a:ln w="9525" cap="flat" cmpd="sng" algn="ctr">
              <a:solidFill>
                <a:schemeClr val="tx1">
                  <a:lumMod val="15000"/>
                  <a:lumOff val="85000"/>
                </a:schemeClr>
              </a:solidFill>
              <a:round/>
            </a:ln>
            <a:effectLst/>
          </c:spPr>
        </c:majorGridlines>
        <c:numFmt formatCode="[$-1041A]#,##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14096303"/>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LCW147_IspisPlanProracuna!$A$17:$B$37</cx:f>
        <cx:lvl ptCount="21">
          <cx:pt idx="0">JAVNA UPRAVA I ADMINISTRACIJA</cx:pt>
          <cx:pt idx="1">VIJEĆE NACIONALNIH MANJINA</cx:pt>
          <cx:pt idx="2">UPRAVLJANJE IMOVINOM</cx:pt>
          <cx:pt idx="3">RAZVOJ CIVILNOG DRUŠTVA</cx:pt>
          <cx:pt idx="4">RAZVOJ SPORTA I REKREACIJE</cx:pt>
          <cx:pt idx="5">PROMICANJE KULTURE</cx:pt>
          <cx:pt idx="6">OBRAZOVANJE</cx:pt>
          <cx:pt idx="7">PREDŠKOLSKI ODGOJ</cx:pt>
          <cx:pt idx="8">KOMUNALNE DJELATNOSTI I ODRŽAVANJE KOMUNALNE INFRASTRUKTURE</cx:pt>
          <cx:pt idx="9">ZAŠTITA OKOLIŠA</cx:pt>
          <cx:pt idx="10">ORGANIZIRANJE I PROVOĐENJE ZAŠTITE I SPAŠAVANJA</cx:pt>
          <cx:pt idx="11">SOCIJALNA SKRB</cx:pt>
          <cx:pt idx="12">RAZVOJ I UPRAVLJANJE VODOOPSKRBE,ODVODNJE I ZAŠTITE VODA</cx:pt>
          <cx:pt idx="13">RAZVOJ I SIGURNOST PROMETA</cx:pt>
          <cx:pt idx="14">POLJOPRIVREDA</cx:pt>
          <cx:pt idx="15">JAČANJE GOSPODARSTVA</cx:pt>
          <cx:pt idx="16">PROJEKT ZAŽELI I OSTVARI</cx:pt>
          <cx:pt idx="17">TURISTIČKA ZAJEDNICA OPĆINE LIPOVLJANI</cx:pt>
          <cx:pt idx="18">TURIZAM</cx:pt>
          <cx:pt idx="19">IZGRADNJA DJEČJEG VRTIĆA U LIPOVLJANIMA</cx:pt>
          <cx:pt idx="20">DEMOGRAFSKE MJERE</cx:pt>
        </cx:lvl>
        <cx:lvl ptCount="21">
          <cx:pt idx="0">PROGRAM   1000</cx:pt>
          <cx:pt idx="1">PROGRAM   1001</cx:pt>
          <cx:pt idx="2">PROGRAM  1002</cx:pt>
          <cx:pt idx="3">PROGRAM  1003</cx:pt>
          <cx:pt idx="4">PROGRAM  1004</cx:pt>
          <cx:pt idx="5">PROGRAM  1005</cx:pt>
          <cx:pt idx="6">PROGRAM  1006</cx:pt>
          <cx:pt idx="7">PROGRAM  1007</cx:pt>
          <cx:pt idx="8">PROGRAM  1008</cx:pt>
          <cx:pt idx="9">PROGRAM  1009</cx:pt>
          <cx:pt idx="10">PROGRAM  1010</cx:pt>
          <cx:pt idx="11">PROGRAM  1011</cx:pt>
          <cx:pt idx="12">PROGRAM  1012</cx:pt>
          <cx:pt idx="13">PROGRAM  1013</cx:pt>
          <cx:pt idx="14">PROGRAM  1014</cx:pt>
          <cx:pt idx="15">PROGRAM  1015</cx:pt>
          <cx:pt idx="16">PROGRAM  1016</cx:pt>
          <cx:pt idx="17">PROGRAM  1017</cx:pt>
          <cx:pt idx="18">PROGRAM  1018</cx:pt>
          <cx:pt idx="19">PROGRAM  1019</cx:pt>
          <cx:pt idx="20">Program  1020</cx:pt>
        </cx:lvl>
      </cx:strDim>
      <cx:numDim type="val">
        <cx:f>LCW147_IspisPlanProracuna!$C$17:$C$37</cx:f>
        <cx:lvl ptCount="21" formatCode="General">
          <cx:pt idx="0">840274</cx:pt>
          <cx:pt idx="1">3000</cx:pt>
          <cx:pt idx="2">1263309</cx:pt>
          <cx:pt idx="3">33451</cx:pt>
          <cx:pt idx="4">60000</cx:pt>
          <cx:pt idx="5">219481</cx:pt>
          <cx:pt idx="6">110000</cx:pt>
          <cx:pt idx="7">331831</cx:pt>
          <cx:pt idx="8">286801</cx:pt>
          <cx:pt idx="9">105089</cx:pt>
          <cx:pt idx="10">332500</cx:pt>
          <cx:pt idx="11">113427</cx:pt>
          <cx:pt idx="12">10000</cx:pt>
          <cx:pt idx="13">950000</cx:pt>
          <cx:pt idx="14">23844</cx:pt>
          <cx:pt idx="15">69977</cx:pt>
          <cx:pt idx="16">276000</cx:pt>
          <cx:pt idx="17">152194</cx:pt>
          <cx:pt idx="18">61766</cx:pt>
          <cx:pt idx="19">4150476</cx:pt>
          <cx:pt idx="20">60000</cx:pt>
        </cx:lvl>
      </cx:numDim>
    </cx:data>
  </cx:chartData>
  <cx:chart>
    <cx:title pos="t" align="ctr" overlay="0">
      <cx:tx>
        <cx:txData>
          <cx:v>Rashodi prema programskoj klasifikaciji </cx:v>
        </cx:txData>
      </cx:tx>
      <cx:txPr>
        <a:bodyPr rot="0" spcFirstLastPara="1" vertOverflow="ellipsis" vert="horz" wrap="square" lIns="38100" tIns="19050" rIns="38100" bIns="19050" anchor="ctr" anchorCtr="1" compatLnSpc="0"/>
        <a:lstStyle/>
        <a:p>
          <a:pPr algn="ctr" rtl="0">
            <a:defRPr sz="1000" b="1" i="0" u="none" strike="noStrike" kern="1200" baseline="0">
              <a:solidFill>
                <a:sysClr val="windowText" lastClr="000000">
                  <a:lumMod val="75000"/>
                  <a:lumOff val="25000"/>
                </a:sysClr>
              </a:solidFill>
              <a:latin typeface="+mn-lt"/>
              <a:ea typeface="+mn-ea"/>
              <a:cs typeface="+mn-cs"/>
            </a:defRPr>
          </a:pPr>
          <a:r>
            <a:rPr kumimoji="0" lang="hr-HR" sz="1000" b="1" i="0" u="none" strike="noStrike" kern="1200" cap="none" spc="0" normalizeH="0" baseline="0" noProof="0">
              <a:ln>
                <a:noFill/>
              </a:ln>
              <a:solidFill>
                <a:sysClr val="windowText" lastClr="000000">
                  <a:lumMod val="75000"/>
                  <a:lumOff val="25000"/>
                </a:sysClr>
              </a:solidFill>
              <a:effectLst/>
              <a:uLnTx/>
              <a:uFillTx/>
              <a:latin typeface="Calibri" panose="020F0502020204030204"/>
            </a:rPr>
            <a:t>Rashodi prema programskoj klasifikaciji </a:t>
          </a:r>
        </a:p>
      </cx:txPr>
    </cx:title>
    <cx:plotArea>
      <cx:plotAreaRegion>
        <cx:series layoutId="funnel" uniqueId="{21097EF3-CF46-469C-A1B2-0D0FCE4BC90A}">
          <cx:dataLabels pos="ctr">
            <cx:visibility seriesName="0" categoryName="0" value="0"/>
          </cx:dataLabels>
          <cx:dataId val="0"/>
        </cx:series>
      </cx:plotAreaRegion>
      <cx:axis id="0">
        <cx:catScaling/>
        <cx:tickLabels/>
      </cx:axis>
      <cx:axis id="1" hidden="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6ED1-1584-413D-A060-736858D7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Pages>
  <Words>3471</Words>
  <Characters>19787</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Knj14</dc:creator>
  <cp:keywords/>
  <dc:description/>
  <cp:lastModifiedBy>racunovodstvo@lipovljani.hr</cp:lastModifiedBy>
  <cp:revision>142</cp:revision>
  <cp:lastPrinted>2023-12-06T11:43:00Z</cp:lastPrinted>
  <dcterms:created xsi:type="dcterms:W3CDTF">2019-11-20T13:39:00Z</dcterms:created>
  <dcterms:modified xsi:type="dcterms:W3CDTF">2024-11-27T14:15:00Z</dcterms:modified>
</cp:coreProperties>
</file>