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3400B" w14:paraId="2026356D" w14:textId="77777777">
        <w:tblPrEx>
          <w:tblCellMar>
            <w:top w:w="0" w:type="dxa"/>
            <w:bottom w:w="0" w:type="dxa"/>
          </w:tblCellMar>
        </w:tblPrEx>
        <w:trPr>
          <w:tblCellSpacing w:w="60" w:type="dxa"/>
        </w:trPr>
        <w:tc>
          <w:tcPr>
            <w:tcW w:w="1200" w:type="pct"/>
            <w:shd w:val="clear" w:color="auto" w:fill="E7F0F9"/>
          </w:tcPr>
          <w:p w14:paraId="20226BC1" w14:textId="77777777" w:rsidR="0043400B" w:rsidRDefault="00000000">
            <w:pPr>
              <w:spacing w:after="0" w:line="240" w:lineRule="auto"/>
            </w:pPr>
            <w:r>
              <w:rPr>
                <w:b/>
              </w:rPr>
              <w:t>RKP broj</w:t>
            </w:r>
          </w:p>
        </w:tc>
        <w:tc>
          <w:tcPr>
            <w:tcW w:w="0" w:type="auto"/>
            <w:shd w:val="clear" w:color="auto" w:fill="E7F0F9"/>
          </w:tcPr>
          <w:p w14:paraId="638C8063" w14:textId="77777777" w:rsidR="0043400B" w:rsidRDefault="00000000">
            <w:pPr>
              <w:spacing w:after="0" w:line="240" w:lineRule="auto"/>
            </w:pPr>
            <w:r>
              <w:t>48533</w:t>
            </w:r>
          </w:p>
        </w:tc>
      </w:tr>
      <w:tr w:rsidR="0043400B" w14:paraId="526A99D5" w14:textId="77777777">
        <w:tblPrEx>
          <w:tblCellMar>
            <w:top w:w="0" w:type="dxa"/>
            <w:bottom w:w="0" w:type="dxa"/>
          </w:tblCellMar>
        </w:tblPrEx>
        <w:trPr>
          <w:tblCellSpacing w:w="60" w:type="dxa"/>
        </w:trPr>
        <w:tc>
          <w:tcPr>
            <w:tcW w:w="1200" w:type="pct"/>
            <w:shd w:val="clear" w:color="auto" w:fill="E7F0F9"/>
          </w:tcPr>
          <w:p w14:paraId="74DC59CE" w14:textId="77777777" w:rsidR="0043400B" w:rsidRDefault="00000000">
            <w:pPr>
              <w:spacing w:after="0" w:line="240" w:lineRule="auto"/>
            </w:pPr>
            <w:r>
              <w:rPr>
                <w:b/>
              </w:rPr>
              <w:t>Naziv obveznika</w:t>
            </w:r>
          </w:p>
        </w:tc>
        <w:tc>
          <w:tcPr>
            <w:tcW w:w="0" w:type="auto"/>
            <w:shd w:val="clear" w:color="auto" w:fill="E7F0F9"/>
          </w:tcPr>
          <w:p w14:paraId="446E316A" w14:textId="77777777" w:rsidR="0043400B" w:rsidRDefault="00000000">
            <w:pPr>
              <w:spacing w:after="0" w:line="240" w:lineRule="auto"/>
            </w:pPr>
            <w:r>
              <w:t>NARODNA KNJIŽNICA I ČITAONICA LIPOVLJANI</w:t>
            </w:r>
          </w:p>
        </w:tc>
      </w:tr>
      <w:tr w:rsidR="0043400B" w14:paraId="637F5EF2" w14:textId="77777777">
        <w:tblPrEx>
          <w:tblCellMar>
            <w:top w:w="0" w:type="dxa"/>
            <w:bottom w:w="0" w:type="dxa"/>
          </w:tblCellMar>
        </w:tblPrEx>
        <w:trPr>
          <w:tblCellSpacing w:w="60" w:type="dxa"/>
        </w:trPr>
        <w:tc>
          <w:tcPr>
            <w:tcW w:w="1200" w:type="pct"/>
            <w:shd w:val="clear" w:color="auto" w:fill="E7F0F9"/>
          </w:tcPr>
          <w:p w14:paraId="5E9C508D" w14:textId="77777777" w:rsidR="0043400B" w:rsidRDefault="00000000">
            <w:pPr>
              <w:spacing w:after="0" w:line="240" w:lineRule="auto"/>
            </w:pPr>
            <w:r>
              <w:rPr>
                <w:b/>
              </w:rPr>
              <w:t>Razina</w:t>
            </w:r>
          </w:p>
        </w:tc>
        <w:tc>
          <w:tcPr>
            <w:tcW w:w="0" w:type="auto"/>
            <w:shd w:val="clear" w:color="auto" w:fill="E7F0F9"/>
          </w:tcPr>
          <w:p w14:paraId="2DCB18B3" w14:textId="77777777" w:rsidR="0043400B" w:rsidRDefault="00000000">
            <w:pPr>
              <w:spacing w:after="0" w:line="240" w:lineRule="auto"/>
            </w:pPr>
            <w:r>
              <w:t>21</w:t>
            </w:r>
          </w:p>
        </w:tc>
      </w:tr>
    </w:tbl>
    <w:p w14:paraId="286A548A" w14:textId="77777777" w:rsidR="0043400B" w:rsidRDefault="00000000">
      <w:r>
        <w:br/>
      </w:r>
    </w:p>
    <w:p w14:paraId="1239F7D2" w14:textId="77777777" w:rsidR="0043400B" w:rsidRDefault="00000000">
      <w:pPr>
        <w:spacing w:line="240" w:lineRule="auto"/>
        <w:jc w:val="center"/>
      </w:pPr>
      <w:r>
        <w:rPr>
          <w:b/>
          <w:sz w:val="28"/>
        </w:rPr>
        <w:t>BILJEŠKE UZ FINANCIJSKE IZVJEŠTAJE</w:t>
      </w:r>
    </w:p>
    <w:p w14:paraId="54E4E3EB" w14:textId="77777777" w:rsidR="0043400B" w:rsidRDefault="00000000">
      <w:pPr>
        <w:spacing w:line="240" w:lineRule="auto"/>
        <w:jc w:val="center"/>
      </w:pPr>
      <w:r>
        <w:rPr>
          <w:b/>
          <w:sz w:val="28"/>
        </w:rPr>
        <w:t>ZA RAZDOBLJE</w:t>
      </w:r>
    </w:p>
    <w:p w14:paraId="6C0883C9" w14:textId="77777777" w:rsidR="0043400B" w:rsidRDefault="00000000">
      <w:pPr>
        <w:spacing w:line="240" w:lineRule="auto"/>
        <w:jc w:val="center"/>
      </w:pPr>
      <w:r>
        <w:rPr>
          <w:b/>
          <w:sz w:val="28"/>
        </w:rPr>
        <w:t>I - XII 2025.</w:t>
      </w:r>
    </w:p>
    <w:p w14:paraId="1DB4B8EC" w14:textId="77777777" w:rsidR="0043400B" w:rsidRDefault="0043400B"/>
    <w:p w14:paraId="3926F5CC" w14:textId="77777777" w:rsidR="0043400B" w:rsidRDefault="00000000">
      <w:pPr>
        <w:keepNext/>
        <w:spacing w:line="240" w:lineRule="auto"/>
        <w:jc w:val="center"/>
      </w:pPr>
      <w:r>
        <w:rPr>
          <w:b/>
          <w:sz w:val="28"/>
        </w:rPr>
        <w:t>Izvještaj o prihodima i rashodima, primicima i izdacima</w:t>
      </w:r>
    </w:p>
    <w:p w14:paraId="26B07890" w14:textId="77777777" w:rsidR="0043400B"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4F05CD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0E03E7"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B89BB8"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3AC3C7"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756C48"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C7C878"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6273EC" w14:textId="77777777" w:rsidR="0043400B" w:rsidRDefault="00000000">
            <w:pPr>
              <w:keepNext/>
              <w:keepLines/>
              <w:spacing w:after="0" w:line="240" w:lineRule="auto"/>
              <w:jc w:val="center"/>
            </w:pPr>
            <w:r>
              <w:rPr>
                <w:b/>
                <w:sz w:val="18"/>
              </w:rPr>
              <w:t>Indeks (%)</w:t>
            </w:r>
          </w:p>
        </w:tc>
      </w:tr>
      <w:tr w:rsidR="0043400B" w14:paraId="2B580EA7" w14:textId="77777777">
        <w:tblPrEx>
          <w:tblCellMar>
            <w:top w:w="0" w:type="dxa"/>
            <w:bottom w:w="0" w:type="dxa"/>
          </w:tblCellMar>
        </w:tblPrEx>
        <w:trPr>
          <w:cantSplit/>
          <w:trHeight w:val="560"/>
        </w:trPr>
        <w:tc>
          <w:tcPr>
            <w:tcW w:w="700" w:type="dxa"/>
            <w:tcMar>
              <w:top w:w="0" w:type="dxa"/>
              <w:bottom w:w="0" w:type="dxa"/>
            </w:tcMar>
            <w:vAlign w:val="center"/>
          </w:tcPr>
          <w:p w14:paraId="2CA673EA" w14:textId="77777777" w:rsidR="0043400B" w:rsidRDefault="00000000">
            <w:pPr>
              <w:keepNext/>
              <w:keepLines/>
              <w:spacing w:after="0" w:line="240" w:lineRule="auto"/>
            </w:pPr>
            <w:r>
              <w:rPr>
                <w:sz w:val="18"/>
              </w:rPr>
              <w:t>6</w:t>
            </w:r>
          </w:p>
        </w:tc>
        <w:tc>
          <w:tcPr>
            <w:tcW w:w="3180" w:type="dxa"/>
            <w:tcMar>
              <w:top w:w="0" w:type="dxa"/>
              <w:bottom w:w="0" w:type="dxa"/>
            </w:tcMar>
            <w:vAlign w:val="center"/>
          </w:tcPr>
          <w:p w14:paraId="08B99D05" w14:textId="77777777" w:rsidR="0043400B"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3C98775" w14:textId="77777777" w:rsidR="0043400B" w:rsidRDefault="00000000">
            <w:pPr>
              <w:keepNext/>
              <w:keepLines/>
              <w:spacing w:after="0" w:line="240" w:lineRule="auto"/>
            </w:pPr>
            <w:r>
              <w:rPr>
                <w:sz w:val="18"/>
              </w:rPr>
              <w:t>6</w:t>
            </w:r>
          </w:p>
        </w:tc>
        <w:tc>
          <w:tcPr>
            <w:tcW w:w="1860" w:type="dxa"/>
            <w:tcMar>
              <w:top w:w="0" w:type="dxa"/>
              <w:bottom w:w="0" w:type="dxa"/>
            </w:tcMar>
            <w:vAlign w:val="center"/>
          </w:tcPr>
          <w:p w14:paraId="755E67A5" w14:textId="77777777" w:rsidR="0043400B" w:rsidRDefault="00000000">
            <w:pPr>
              <w:keepNext/>
              <w:keepLines/>
              <w:spacing w:after="0" w:line="240" w:lineRule="auto"/>
              <w:jc w:val="right"/>
            </w:pPr>
            <w:r>
              <w:rPr>
                <w:sz w:val="18"/>
              </w:rPr>
              <w:t>66.535,89</w:t>
            </w:r>
          </w:p>
        </w:tc>
        <w:tc>
          <w:tcPr>
            <w:tcW w:w="1860" w:type="dxa"/>
            <w:tcMar>
              <w:top w:w="0" w:type="dxa"/>
              <w:bottom w:w="0" w:type="dxa"/>
            </w:tcMar>
            <w:vAlign w:val="center"/>
          </w:tcPr>
          <w:p w14:paraId="41BB2478" w14:textId="77777777" w:rsidR="0043400B" w:rsidRDefault="00000000">
            <w:pPr>
              <w:keepNext/>
              <w:keepLines/>
              <w:spacing w:after="0" w:line="240" w:lineRule="auto"/>
              <w:jc w:val="right"/>
            </w:pPr>
            <w:r>
              <w:rPr>
                <w:sz w:val="18"/>
              </w:rPr>
              <w:t>76.710,07</w:t>
            </w:r>
          </w:p>
        </w:tc>
        <w:tc>
          <w:tcPr>
            <w:tcW w:w="700" w:type="dxa"/>
            <w:tcMar>
              <w:top w:w="0" w:type="dxa"/>
              <w:bottom w:w="0" w:type="dxa"/>
            </w:tcMar>
            <w:vAlign w:val="center"/>
          </w:tcPr>
          <w:p w14:paraId="4372EF6D" w14:textId="77777777" w:rsidR="0043400B" w:rsidRDefault="00000000">
            <w:pPr>
              <w:keepNext/>
              <w:keepLines/>
              <w:spacing w:after="0" w:line="240" w:lineRule="auto"/>
              <w:jc w:val="right"/>
            </w:pPr>
            <w:r>
              <w:rPr>
                <w:sz w:val="18"/>
              </w:rPr>
              <w:t>115,3</w:t>
            </w:r>
          </w:p>
        </w:tc>
      </w:tr>
      <w:tr w:rsidR="0043400B" w14:paraId="03E40B10" w14:textId="77777777">
        <w:tblPrEx>
          <w:tblCellMar>
            <w:top w:w="0" w:type="dxa"/>
            <w:bottom w:w="0" w:type="dxa"/>
          </w:tblCellMar>
        </w:tblPrEx>
        <w:trPr>
          <w:cantSplit/>
          <w:trHeight w:val="560"/>
        </w:trPr>
        <w:tc>
          <w:tcPr>
            <w:tcW w:w="700" w:type="dxa"/>
            <w:tcMar>
              <w:top w:w="0" w:type="dxa"/>
              <w:bottom w:w="0" w:type="dxa"/>
            </w:tcMar>
            <w:vAlign w:val="center"/>
          </w:tcPr>
          <w:p w14:paraId="6C36DF47" w14:textId="77777777" w:rsidR="0043400B" w:rsidRDefault="00000000">
            <w:pPr>
              <w:keepNext/>
              <w:keepLines/>
              <w:spacing w:after="0" w:line="240" w:lineRule="auto"/>
            </w:pPr>
            <w:r>
              <w:rPr>
                <w:sz w:val="18"/>
              </w:rPr>
              <w:t>3</w:t>
            </w:r>
          </w:p>
        </w:tc>
        <w:tc>
          <w:tcPr>
            <w:tcW w:w="3180" w:type="dxa"/>
            <w:tcMar>
              <w:top w:w="0" w:type="dxa"/>
              <w:bottom w:w="0" w:type="dxa"/>
            </w:tcMar>
            <w:vAlign w:val="center"/>
          </w:tcPr>
          <w:p w14:paraId="102092FE" w14:textId="77777777" w:rsidR="0043400B"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CB3D8D7" w14:textId="77777777" w:rsidR="0043400B" w:rsidRDefault="00000000">
            <w:pPr>
              <w:keepNext/>
              <w:keepLines/>
              <w:spacing w:after="0" w:line="240" w:lineRule="auto"/>
            </w:pPr>
            <w:r>
              <w:rPr>
                <w:sz w:val="18"/>
              </w:rPr>
              <w:t>3</w:t>
            </w:r>
          </w:p>
        </w:tc>
        <w:tc>
          <w:tcPr>
            <w:tcW w:w="1860" w:type="dxa"/>
            <w:tcMar>
              <w:top w:w="0" w:type="dxa"/>
              <w:bottom w:w="0" w:type="dxa"/>
            </w:tcMar>
            <w:vAlign w:val="center"/>
          </w:tcPr>
          <w:p w14:paraId="2A927D49" w14:textId="77777777" w:rsidR="0043400B" w:rsidRDefault="00000000">
            <w:pPr>
              <w:keepNext/>
              <w:keepLines/>
              <w:spacing w:after="0" w:line="240" w:lineRule="auto"/>
              <w:jc w:val="right"/>
            </w:pPr>
            <w:r>
              <w:rPr>
                <w:sz w:val="18"/>
              </w:rPr>
              <w:t>55.790,04</w:t>
            </w:r>
          </w:p>
        </w:tc>
        <w:tc>
          <w:tcPr>
            <w:tcW w:w="1860" w:type="dxa"/>
            <w:tcMar>
              <w:top w:w="0" w:type="dxa"/>
              <w:bottom w:w="0" w:type="dxa"/>
            </w:tcMar>
            <w:vAlign w:val="center"/>
          </w:tcPr>
          <w:p w14:paraId="50DD1071" w14:textId="77777777" w:rsidR="0043400B" w:rsidRDefault="00000000">
            <w:pPr>
              <w:keepNext/>
              <w:keepLines/>
              <w:spacing w:after="0" w:line="240" w:lineRule="auto"/>
              <w:jc w:val="right"/>
            </w:pPr>
            <w:r>
              <w:rPr>
                <w:sz w:val="18"/>
              </w:rPr>
              <w:t>58.590,85</w:t>
            </w:r>
          </w:p>
        </w:tc>
        <w:tc>
          <w:tcPr>
            <w:tcW w:w="700" w:type="dxa"/>
            <w:tcMar>
              <w:top w:w="0" w:type="dxa"/>
              <w:bottom w:w="0" w:type="dxa"/>
            </w:tcMar>
            <w:vAlign w:val="center"/>
          </w:tcPr>
          <w:p w14:paraId="4BCC9E5C" w14:textId="77777777" w:rsidR="0043400B" w:rsidRDefault="00000000">
            <w:pPr>
              <w:keepNext/>
              <w:keepLines/>
              <w:spacing w:after="0" w:line="240" w:lineRule="auto"/>
              <w:jc w:val="right"/>
            </w:pPr>
            <w:r>
              <w:rPr>
                <w:sz w:val="18"/>
              </w:rPr>
              <w:t>105,0</w:t>
            </w:r>
          </w:p>
        </w:tc>
      </w:tr>
      <w:tr w:rsidR="0043400B" w14:paraId="7078D30E" w14:textId="77777777">
        <w:tblPrEx>
          <w:tblCellMar>
            <w:top w:w="0" w:type="dxa"/>
            <w:bottom w:w="0" w:type="dxa"/>
          </w:tblCellMar>
        </w:tblPrEx>
        <w:trPr>
          <w:cantSplit/>
          <w:trHeight w:val="560"/>
        </w:trPr>
        <w:tc>
          <w:tcPr>
            <w:tcW w:w="700" w:type="dxa"/>
            <w:tcMar>
              <w:top w:w="0" w:type="dxa"/>
              <w:bottom w:w="0" w:type="dxa"/>
            </w:tcMar>
            <w:vAlign w:val="center"/>
          </w:tcPr>
          <w:p w14:paraId="5E891DE8" w14:textId="77777777" w:rsidR="0043400B" w:rsidRDefault="0043400B">
            <w:pPr>
              <w:keepNext/>
              <w:keepLines/>
              <w:spacing w:after="0" w:line="240" w:lineRule="auto"/>
            </w:pPr>
          </w:p>
        </w:tc>
        <w:tc>
          <w:tcPr>
            <w:tcW w:w="3180" w:type="dxa"/>
            <w:tcMar>
              <w:top w:w="0" w:type="dxa"/>
              <w:bottom w:w="0" w:type="dxa"/>
            </w:tcMar>
            <w:vAlign w:val="center"/>
          </w:tcPr>
          <w:p w14:paraId="4D4D36DB" w14:textId="77777777" w:rsidR="0043400B"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263E46C7" w14:textId="77777777" w:rsidR="0043400B" w:rsidRDefault="00000000">
            <w:pPr>
              <w:keepNext/>
              <w:keepLines/>
              <w:spacing w:after="0" w:line="240" w:lineRule="auto"/>
            </w:pPr>
            <w:r>
              <w:rPr>
                <w:b/>
                <w:sz w:val="18"/>
              </w:rPr>
              <w:t>X001</w:t>
            </w:r>
          </w:p>
        </w:tc>
        <w:tc>
          <w:tcPr>
            <w:tcW w:w="1860" w:type="dxa"/>
            <w:tcMar>
              <w:top w:w="0" w:type="dxa"/>
              <w:bottom w:w="0" w:type="dxa"/>
            </w:tcMar>
            <w:vAlign w:val="center"/>
          </w:tcPr>
          <w:p w14:paraId="3E2E0441" w14:textId="77777777" w:rsidR="0043400B" w:rsidRDefault="00000000">
            <w:pPr>
              <w:keepNext/>
              <w:keepLines/>
              <w:spacing w:after="0" w:line="240" w:lineRule="auto"/>
              <w:jc w:val="right"/>
            </w:pPr>
            <w:r>
              <w:rPr>
                <w:b/>
                <w:sz w:val="18"/>
              </w:rPr>
              <w:t>10.745,85</w:t>
            </w:r>
          </w:p>
        </w:tc>
        <w:tc>
          <w:tcPr>
            <w:tcW w:w="1860" w:type="dxa"/>
            <w:tcMar>
              <w:top w:w="0" w:type="dxa"/>
              <w:bottom w:w="0" w:type="dxa"/>
            </w:tcMar>
            <w:vAlign w:val="center"/>
          </w:tcPr>
          <w:p w14:paraId="066601CA" w14:textId="77777777" w:rsidR="0043400B" w:rsidRDefault="00000000">
            <w:pPr>
              <w:keepNext/>
              <w:keepLines/>
              <w:spacing w:after="0" w:line="240" w:lineRule="auto"/>
              <w:jc w:val="right"/>
            </w:pPr>
            <w:r>
              <w:rPr>
                <w:b/>
                <w:sz w:val="18"/>
              </w:rPr>
              <w:t>18.119,22</w:t>
            </w:r>
          </w:p>
        </w:tc>
        <w:tc>
          <w:tcPr>
            <w:tcW w:w="700" w:type="dxa"/>
            <w:tcMar>
              <w:top w:w="0" w:type="dxa"/>
              <w:bottom w:w="0" w:type="dxa"/>
            </w:tcMar>
            <w:vAlign w:val="center"/>
          </w:tcPr>
          <w:p w14:paraId="125F6380" w14:textId="77777777" w:rsidR="0043400B" w:rsidRDefault="00000000">
            <w:pPr>
              <w:keepNext/>
              <w:keepLines/>
              <w:spacing w:after="0" w:line="240" w:lineRule="auto"/>
              <w:jc w:val="right"/>
            </w:pPr>
            <w:r>
              <w:rPr>
                <w:b/>
                <w:sz w:val="18"/>
              </w:rPr>
              <w:t>168,6</w:t>
            </w:r>
          </w:p>
        </w:tc>
      </w:tr>
      <w:tr w:rsidR="0043400B" w14:paraId="72A57B3F" w14:textId="77777777">
        <w:tblPrEx>
          <w:tblCellMar>
            <w:top w:w="0" w:type="dxa"/>
            <w:bottom w:w="0" w:type="dxa"/>
          </w:tblCellMar>
        </w:tblPrEx>
        <w:trPr>
          <w:cantSplit/>
          <w:trHeight w:val="560"/>
        </w:trPr>
        <w:tc>
          <w:tcPr>
            <w:tcW w:w="700" w:type="dxa"/>
            <w:tcMar>
              <w:top w:w="0" w:type="dxa"/>
              <w:bottom w:w="0" w:type="dxa"/>
            </w:tcMar>
            <w:vAlign w:val="center"/>
          </w:tcPr>
          <w:p w14:paraId="6645AAB5" w14:textId="77777777" w:rsidR="0043400B" w:rsidRDefault="00000000">
            <w:pPr>
              <w:keepNext/>
              <w:keepLines/>
              <w:spacing w:after="0" w:line="240" w:lineRule="auto"/>
            </w:pPr>
            <w:r>
              <w:rPr>
                <w:sz w:val="18"/>
              </w:rPr>
              <w:t>7</w:t>
            </w:r>
          </w:p>
        </w:tc>
        <w:tc>
          <w:tcPr>
            <w:tcW w:w="3180" w:type="dxa"/>
            <w:tcMar>
              <w:top w:w="0" w:type="dxa"/>
              <w:bottom w:w="0" w:type="dxa"/>
            </w:tcMar>
            <w:vAlign w:val="center"/>
          </w:tcPr>
          <w:p w14:paraId="19B2CDE1" w14:textId="77777777" w:rsidR="0043400B"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B90E855" w14:textId="77777777" w:rsidR="0043400B" w:rsidRDefault="00000000">
            <w:pPr>
              <w:keepNext/>
              <w:keepLines/>
              <w:spacing w:after="0" w:line="240" w:lineRule="auto"/>
            </w:pPr>
            <w:r>
              <w:rPr>
                <w:sz w:val="18"/>
              </w:rPr>
              <w:t>7</w:t>
            </w:r>
          </w:p>
        </w:tc>
        <w:tc>
          <w:tcPr>
            <w:tcW w:w="1860" w:type="dxa"/>
            <w:tcMar>
              <w:top w:w="0" w:type="dxa"/>
              <w:bottom w:w="0" w:type="dxa"/>
            </w:tcMar>
            <w:vAlign w:val="center"/>
          </w:tcPr>
          <w:p w14:paraId="012DFC8B" w14:textId="77777777" w:rsidR="0043400B" w:rsidRDefault="00000000">
            <w:pPr>
              <w:keepNext/>
              <w:keepLines/>
              <w:spacing w:after="0" w:line="240" w:lineRule="auto"/>
              <w:jc w:val="right"/>
            </w:pPr>
            <w:r>
              <w:rPr>
                <w:sz w:val="18"/>
              </w:rPr>
              <w:t>0,00</w:t>
            </w:r>
          </w:p>
        </w:tc>
        <w:tc>
          <w:tcPr>
            <w:tcW w:w="1860" w:type="dxa"/>
            <w:tcMar>
              <w:top w:w="0" w:type="dxa"/>
              <w:bottom w:w="0" w:type="dxa"/>
            </w:tcMar>
            <w:vAlign w:val="center"/>
          </w:tcPr>
          <w:p w14:paraId="5C3E171E" w14:textId="77777777" w:rsidR="0043400B" w:rsidRDefault="00000000">
            <w:pPr>
              <w:keepNext/>
              <w:keepLines/>
              <w:spacing w:after="0" w:line="240" w:lineRule="auto"/>
              <w:jc w:val="right"/>
            </w:pPr>
            <w:r>
              <w:rPr>
                <w:sz w:val="18"/>
              </w:rPr>
              <w:t>0,00</w:t>
            </w:r>
          </w:p>
        </w:tc>
        <w:tc>
          <w:tcPr>
            <w:tcW w:w="700" w:type="dxa"/>
            <w:tcMar>
              <w:top w:w="0" w:type="dxa"/>
              <w:bottom w:w="0" w:type="dxa"/>
            </w:tcMar>
            <w:vAlign w:val="center"/>
          </w:tcPr>
          <w:p w14:paraId="5509C3B3" w14:textId="77777777" w:rsidR="0043400B" w:rsidRDefault="00000000">
            <w:pPr>
              <w:keepNext/>
              <w:keepLines/>
              <w:spacing w:after="0" w:line="240" w:lineRule="auto"/>
              <w:jc w:val="right"/>
            </w:pPr>
            <w:r>
              <w:rPr>
                <w:sz w:val="18"/>
              </w:rPr>
              <w:t>-</w:t>
            </w:r>
          </w:p>
        </w:tc>
      </w:tr>
      <w:tr w:rsidR="0043400B" w14:paraId="50D78DA2" w14:textId="77777777">
        <w:tblPrEx>
          <w:tblCellMar>
            <w:top w:w="0" w:type="dxa"/>
            <w:bottom w:w="0" w:type="dxa"/>
          </w:tblCellMar>
        </w:tblPrEx>
        <w:trPr>
          <w:cantSplit/>
          <w:trHeight w:val="560"/>
        </w:trPr>
        <w:tc>
          <w:tcPr>
            <w:tcW w:w="700" w:type="dxa"/>
            <w:tcMar>
              <w:top w:w="0" w:type="dxa"/>
              <w:bottom w:w="0" w:type="dxa"/>
            </w:tcMar>
            <w:vAlign w:val="center"/>
          </w:tcPr>
          <w:p w14:paraId="51761C31" w14:textId="77777777" w:rsidR="0043400B" w:rsidRDefault="00000000">
            <w:pPr>
              <w:keepNext/>
              <w:keepLines/>
              <w:spacing w:after="0" w:line="240" w:lineRule="auto"/>
            </w:pPr>
            <w:r>
              <w:rPr>
                <w:sz w:val="18"/>
              </w:rPr>
              <w:t>4</w:t>
            </w:r>
          </w:p>
        </w:tc>
        <w:tc>
          <w:tcPr>
            <w:tcW w:w="3180" w:type="dxa"/>
            <w:tcMar>
              <w:top w:w="0" w:type="dxa"/>
              <w:bottom w:w="0" w:type="dxa"/>
            </w:tcMar>
            <w:vAlign w:val="center"/>
          </w:tcPr>
          <w:p w14:paraId="3B246AD4" w14:textId="77777777" w:rsidR="0043400B"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F23177C" w14:textId="77777777" w:rsidR="0043400B" w:rsidRDefault="00000000">
            <w:pPr>
              <w:keepNext/>
              <w:keepLines/>
              <w:spacing w:after="0" w:line="240" w:lineRule="auto"/>
            </w:pPr>
            <w:r>
              <w:rPr>
                <w:sz w:val="18"/>
              </w:rPr>
              <w:t>4</w:t>
            </w:r>
          </w:p>
        </w:tc>
        <w:tc>
          <w:tcPr>
            <w:tcW w:w="1860" w:type="dxa"/>
            <w:tcMar>
              <w:top w:w="0" w:type="dxa"/>
              <w:bottom w:w="0" w:type="dxa"/>
            </w:tcMar>
            <w:vAlign w:val="center"/>
          </w:tcPr>
          <w:p w14:paraId="0048F366" w14:textId="77777777" w:rsidR="0043400B" w:rsidRDefault="00000000">
            <w:pPr>
              <w:keepNext/>
              <w:keepLines/>
              <w:spacing w:after="0" w:line="240" w:lineRule="auto"/>
              <w:jc w:val="right"/>
            </w:pPr>
            <w:r>
              <w:rPr>
                <w:sz w:val="18"/>
              </w:rPr>
              <w:t>10.219,31</w:t>
            </w:r>
          </w:p>
        </w:tc>
        <w:tc>
          <w:tcPr>
            <w:tcW w:w="1860" w:type="dxa"/>
            <w:tcMar>
              <w:top w:w="0" w:type="dxa"/>
              <w:bottom w:w="0" w:type="dxa"/>
            </w:tcMar>
            <w:vAlign w:val="center"/>
          </w:tcPr>
          <w:p w14:paraId="09AE5392" w14:textId="77777777" w:rsidR="0043400B" w:rsidRDefault="00000000">
            <w:pPr>
              <w:keepNext/>
              <w:keepLines/>
              <w:spacing w:after="0" w:line="240" w:lineRule="auto"/>
              <w:jc w:val="right"/>
            </w:pPr>
            <w:r>
              <w:rPr>
                <w:sz w:val="18"/>
              </w:rPr>
              <w:t>19.884,85</w:t>
            </w:r>
          </w:p>
        </w:tc>
        <w:tc>
          <w:tcPr>
            <w:tcW w:w="700" w:type="dxa"/>
            <w:tcMar>
              <w:top w:w="0" w:type="dxa"/>
              <w:bottom w:w="0" w:type="dxa"/>
            </w:tcMar>
            <w:vAlign w:val="center"/>
          </w:tcPr>
          <w:p w14:paraId="7FC8AE66" w14:textId="77777777" w:rsidR="0043400B" w:rsidRDefault="00000000">
            <w:pPr>
              <w:keepNext/>
              <w:keepLines/>
              <w:spacing w:after="0" w:line="240" w:lineRule="auto"/>
              <w:jc w:val="right"/>
            </w:pPr>
            <w:r>
              <w:rPr>
                <w:sz w:val="18"/>
              </w:rPr>
              <w:t>194,6</w:t>
            </w:r>
          </w:p>
        </w:tc>
      </w:tr>
      <w:tr w:rsidR="0043400B" w14:paraId="1B715E47" w14:textId="77777777">
        <w:tblPrEx>
          <w:tblCellMar>
            <w:top w:w="0" w:type="dxa"/>
            <w:bottom w:w="0" w:type="dxa"/>
          </w:tblCellMar>
        </w:tblPrEx>
        <w:trPr>
          <w:cantSplit/>
          <w:trHeight w:val="560"/>
        </w:trPr>
        <w:tc>
          <w:tcPr>
            <w:tcW w:w="700" w:type="dxa"/>
            <w:tcMar>
              <w:top w:w="0" w:type="dxa"/>
              <w:bottom w:w="0" w:type="dxa"/>
            </w:tcMar>
            <w:vAlign w:val="center"/>
          </w:tcPr>
          <w:p w14:paraId="786163E1" w14:textId="77777777" w:rsidR="0043400B" w:rsidRDefault="0043400B">
            <w:pPr>
              <w:keepNext/>
              <w:keepLines/>
              <w:spacing w:after="0" w:line="240" w:lineRule="auto"/>
            </w:pPr>
          </w:p>
        </w:tc>
        <w:tc>
          <w:tcPr>
            <w:tcW w:w="3180" w:type="dxa"/>
            <w:tcMar>
              <w:top w:w="0" w:type="dxa"/>
              <w:bottom w:w="0" w:type="dxa"/>
            </w:tcMar>
            <w:vAlign w:val="center"/>
          </w:tcPr>
          <w:p w14:paraId="4B419B62" w14:textId="77777777" w:rsidR="0043400B"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EF2E721" w14:textId="77777777" w:rsidR="0043400B" w:rsidRDefault="00000000">
            <w:pPr>
              <w:keepNext/>
              <w:keepLines/>
              <w:spacing w:after="0" w:line="240" w:lineRule="auto"/>
            </w:pPr>
            <w:r>
              <w:rPr>
                <w:b/>
                <w:sz w:val="18"/>
              </w:rPr>
              <w:t>Y002</w:t>
            </w:r>
          </w:p>
        </w:tc>
        <w:tc>
          <w:tcPr>
            <w:tcW w:w="1860" w:type="dxa"/>
            <w:tcMar>
              <w:top w:w="0" w:type="dxa"/>
              <w:bottom w:w="0" w:type="dxa"/>
            </w:tcMar>
            <w:vAlign w:val="center"/>
          </w:tcPr>
          <w:p w14:paraId="37999F60" w14:textId="77777777" w:rsidR="0043400B" w:rsidRDefault="00000000">
            <w:pPr>
              <w:keepNext/>
              <w:keepLines/>
              <w:spacing w:after="0" w:line="240" w:lineRule="auto"/>
              <w:jc w:val="right"/>
            </w:pPr>
            <w:r>
              <w:rPr>
                <w:b/>
                <w:sz w:val="18"/>
              </w:rPr>
              <w:t>10.219,31</w:t>
            </w:r>
          </w:p>
        </w:tc>
        <w:tc>
          <w:tcPr>
            <w:tcW w:w="1860" w:type="dxa"/>
            <w:tcMar>
              <w:top w:w="0" w:type="dxa"/>
              <w:bottom w:w="0" w:type="dxa"/>
            </w:tcMar>
            <w:vAlign w:val="center"/>
          </w:tcPr>
          <w:p w14:paraId="1B83FD2B" w14:textId="77777777" w:rsidR="0043400B" w:rsidRDefault="00000000">
            <w:pPr>
              <w:keepNext/>
              <w:keepLines/>
              <w:spacing w:after="0" w:line="240" w:lineRule="auto"/>
              <w:jc w:val="right"/>
            </w:pPr>
            <w:r>
              <w:rPr>
                <w:b/>
                <w:sz w:val="18"/>
              </w:rPr>
              <w:t>19.884,85</w:t>
            </w:r>
          </w:p>
        </w:tc>
        <w:tc>
          <w:tcPr>
            <w:tcW w:w="700" w:type="dxa"/>
            <w:tcMar>
              <w:top w:w="0" w:type="dxa"/>
              <w:bottom w:w="0" w:type="dxa"/>
            </w:tcMar>
            <w:vAlign w:val="center"/>
          </w:tcPr>
          <w:p w14:paraId="3194258D" w14:textId="77777777" w:rsidR="0043400B" w:rsidRDefault="00000000">
            <w:pPr>
              <w:keepNext/>
              <w:keepLines/>
              <w:spacing w:after="0" w:line="240" w:lineRule="auto"/>
              <w:jc w:val="right"/>
            </w:pPr>
            <w:r>
              <w:rPr>
                <w:b/>
                <w:sz w:val="18"/>
              </w:rPr>
              <w:t>194,6</w:t>
            </w:r>
          </w:p>
        </w:tc>
      </w:tr>
      <w:tr w:rsidR="0043400B" w14:paraId="2D9BFAA1" w14:textId="77777777">
        <w:tblPrEx>
          <w:tblCellMar>
            <w:top w:w="0" w:type="dxa"/>
            <w:bottom w:w="0" w:type="dxa"/>
          </w:tblCellMar>
        </w:tblPrEx>
        <w:trPr>
          <w:cantSplit/>
          <w:trHeight w:val="560"/>
        </w:trPr>
        <w:tc>
          <w:tcPr>
            <w:tcW w:w="700" w:type="dxa"/>
            <w:tcMar>
              <w:top w:w="0" w:type="dxa"/>
              <w:bottom w:w="0" w:type="dxa"/>
            </w:tcMar>
            <w:vAlign w:val="center"/>
          </w:tcPr>
          <w:p w14:paraId="673A8B47" w14:textId="77777777" w:rsidR="0043400B" w:rsidRDefault="00000000">
            <w:pPr>
              <w:keepNext/>
              <w:keepLines/>
              <w:spacing w:after="0" w:line="240" w:lineRule="auto"/>
            </w:pPr>
            <w:r>
              <w:rPr>
                <w:sz w:val="18"/>
              </w:rPr>
              <w:t>8</w:t>
            </w:r>
          </w:p>
        </w:tc>
        <w:tc>
          <w:tcPr>
            <w:tcW w:w="3180" w:type="dxa"/>
            <w:tcMar>
              <w:top w:w="0" w:type="dxa"/>
              <w:bottom w:w="0" w:type="dxa"/>
            </w:tcMar>
            <w:vAlign w:val="center"/>
          </w:tcPr>
          <w:p w14:paraId="4BFE198E" w14:textId="77777777" w:rsidR="0043400B"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E27329A" w14:textId="77777777" w:rsidR="0043400B" w:rsidRDefault="00000000">
            <w:pPr>
              <w:keepNext/>
              <w:keepLines/>
              <w:spacing w:after="0" w:line="240" w:lineRule="auto"/>
            </w:pPr>
            <w:r>
              <w:rPr>
                <w:sz w:val="18"/>
              </w:rPr>
              <w:t>8</w:t>
            </w:r>
          </w:p>
        </w:tc>
        <w:tc>
          <w:tcPr>
            <w:tcW w:w="1860" w:type="dxa"/>
            <w:tcMar>
              <w:top w:w="0" w:type="dxa"/>
              <w:bottom w:w="0" w:type="dxa"/>
            </w:tcMar>
            <w:vAlign w:val="center"/>
          </w:tcPr>
          <w:p w14:paraId="70CD2BDD" w14:textId="77777777" w:rsidR="0043400B" w:rsidRDefault="00000000">
            <w:pPr>
              <w:keepNext/>
              <w:keepLines/>
              <w:spacing w:after="0" w:line="240" w:lineRule="auto"/>
              <w:jc w:val="right"/>
            </w:pPr>
            <w:r>
              <w:rPr>
                <w:sz w:val="18"/>
              </w:rPr>
              <w:t>0,00</w:t>
            </w:r>
          </w:p>
        </w:tc>
        <w:tc>
          <w:tcPr>
            <w:tcW w:w="1860" w:type="dxa"/>
            <w:tcMar>
              <w:top w:w="0" w:type="dxa"/>
              <w:bottom w:w="0" w:type="dxa"/>
            </w:tcMar>
            <w:vAlign w:val="center"/>
          </w:tcPr>
          <w:p w14:paraId="0A18A91C" w14:textId="77777777" w:rsidR="0043400B" w:rsidRDefault="00000000">
            <w:pPr>
              <w:keepNext/>
              <w:keepLines/>
              <w:spacing w:after="0" w:line="240" w:lineRule="auto"/>
              <w:jc w:val="right"/>
            </w:pPr>
            <w:r>
              <w:rPr>
                <w:sz w:val="18"/>
              </w:rPr>
              <w:t>0,00</w:t>
            </w:r>
          </w:p>
        </w:tc>
        <w:tc>
          <w:tcPr>
            <w:tcW w:w="700" w:type="dxa"/>
            <w:tcMar>
              <w:top w:w="0" w:type="dxa"/>
              <w:bottom w:w="0" w:type="dxa"/>
            </w:tcMar>
            <w:vAlign w:val="center"/>
          </w:tcPr>
          <w:p w14:paraId="6F1C5955" w14:textId="77777777" w:rsidR="0043400B" w:rsidRDefault="00000000">
            <w:pPr>
              <w:keepNext/>
              <w:keepLines/>
              <w:spacing w:after="0" w:line="240" w:lineRule="auto"/>
              <w:jc w:val="right"/>
            </w:pPr>
            <w:r>
              <w:rPr>
                <w:sz w:val="18"/>
              </w:rPr>
              <w:t>-</w:t>
            </w:r>
          </w:p>
        </w:tc>
      </w:tr>
      <w:tr w:rsidR="0043400B" w14:paraId="5C1D87B5" w14:textId="77777777">
        <w:tblPrEx>
          <w:tblCellMar>
            <w:top w:w="0" w:type="dxa"/>
            <w:bottom w:w="0" w:type="dxa"/>
          </w:tblCellMar>
        </w:tblPrEx>
        <w:trPr>
          <w:cantSplit/>
          <w:trHeight w:val="560"/>
        </w:trPr>
        <w:tc>
          <w:tcPr>
            <w:tcW w:w="700" w:type="dxa"/>
            <w:tcMar>
              <w:top w:w="0" w:type="dxa"/>
              <w:bottom w:w="0" w:type="dxa"/>
            </w:tcMar>
            <w:vAlign w:val="center"/>
          </w:tcPr>
          <w:p w14:paraId="53EAC9EE" w14:textId="77777777" w:rsidR="0043400B" w:rsidRDefault="00000000">
            <w:pPr>
              <w:keepNext/>
              <w:keepLines/>
              <w:spacing w:after="0" w:line="240" w:lineRule="auto"/>
            </w:pPr>
            <w:r>
              <w:rPr>
                <w:sz w:val="18"/>
              </w:rPr>
              <w:t>5</w:t>
            </w:r>
          </w:p>
        </w:tc>
        <w:tc>
          <w:tcPr>
            <w:tcW w:w="3180" w:type="dxa"/>
            <w:tcMar>
              <w:top w:w="0" w:type="dxa"/>
              <w:bottom w:w="0" w:type="dxa"/>
            </w:tcMar>
            <w:vAlign w:val="center"/>
          </w:tcPr>
          <w:p w14:paraId="71518853" w14:textId="77777777" w:rsidR="0043400B"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FE7C253" w14:textId="77777777" w:rsidR="0043400B" w:rsidRDefault="00000000">
            <w:pPr>
              <w:keepNext/>
              <w:keepLines/>
              <w:spacing w:after="0" w:line="240" w:lineRule="auto"/>
            </w:pPr>
            <w:r>
              <w:rPr>
                <w:sz w:val="18"/>
              </w:rPr>
              <w:t>5</w:t>
            </w:r>
          </w:p>
        </w:tc>
        <w:tc>
          <w:tcPr>
            <w:tcW w:w="1860" w:type="dxa"/>
            <w:tcMar>
              <w:top w:w="0" w:type="dxa"/>
              <w:bottom w:w="0" w:type="dxa"/>
            </w:tcMar>
            <w:vAlign w:val="center"/>
          </w:tcPr>
          <w:p w14:paraId="5916D2D3" w14:textId="77777777" w:rsidR="0043400B" w:rsidRDefault="00000000">
            <w:pPr>
              <w:keepNext/>
              <w:keepLines/>
              <w:spacing w:after="0" w:line="240" w:lineRule="auto"/>
              <w:jc w:val="right"/>
            </w:pPr>
            <w:r>
              <w:rPr>
                <w:sz w:val="18"/>
              </w:rPr>
              <w:t>0,00</w:t>
            </w:r>
          </w:p>
        </w:tc>
        <w:tc>
          <w:tcPr>
            <w:tcW w:w="1860" w:type="dxa"/>
            <w:tcMar>
              <w:top w:w="0" w:type="dxa"/>
              <w:bottom w:w="0" w:type="dxa"/>
            </w:tcMar>
            <w:vAlign w:val="center"/>
          </w:tcPr>
          <w:p w14:paraId="5BA2DF56" w14:textId="77777777" w:rsidR="0043400B" w:rsidRDefault="00000000">
            <w:pPr>
              <w:keepNext/>
              <w:keepLines/>
              <w:spacing w:after="0" w:line="240" w:lineRule="auto"/>
              <w:jc w:val="right"/>
            </w:pPr>
            <w:r>
              <w:rPr>
                <w:sz w:val="18"/>
              </w:rPr>
              <w:t>0,00</w:t>
            </w:r>
          </w:p>
        </w:tc>
        <w:tc>
          <w:tcPr>
            <w:tcW w:w="700" w:type="dxa"/>
            <w:tcMar>
              <w:top w:w="0" w:type="dxa"/>
              <w:bottom w:w="0" w:type="dxa"/>
            </w:tcMar>
            <w:vAlign w:val="center"/>
          </w:tcPr>
          <w:p w14:paraId="125EDBA8" w14:textId="77777777" w:rsidR="0043400B" w:rsidRDefault="00000000">
            <w:pPr>
              <w:keepNext/>
              <w:keepLines/>
              <w:spacing w:after="0" w:line="240" w:lineRule="auto"/>
              <w:jc w:val="right"/>
            </w:pPr>
            <w:r>
              <w:rPr>
                <w:sz w:val="18"/>
              </w:rPr>
              <w:t>-</w:t>
            </w:r>
          </w:p>
        </w:tc>
      </w:tr>
      <w:tr w:rsidR="0043400B" w14:paraId="458A9F3B" w14:textId="77777777">
        <w:tblPrEx>
          <w:tblCellMar>
            <w:top w:w="0" w:type="dxa"/>
            <w:bottom w:w="0" w:type="dxa"/>
          </w:tblCellMar>
        </w:tblPrEx>
        <w:trPr>
          <w:cantSplit/>
          <w:trHeight w:val="560"/>
        </w:trPr>
        <w:tc>
          <w:tcPr>
            <w:tcW w:w="700" w:type="dxa"/>
            <w:tcMar>
              <w:top w:w="0" w:type="dxa"/>
              <w:bottom w:w="0" w:type="dxa"/>
            </w:tcMar>
            <w:vAlign w:val="center"/>
          </w:tcPr>
          <w:p w14:paraId="73EC1620" w14:textId="77777777" w:rsidR="0043400B" w:rsidRDefault="0043400B">
            <w:pPr>
              <w:keepNext/>
              <w:keepLines/>
              <w:spacing w:after="0" w:line="240" w:lineRule="auto"/>
            </w:pPr>
          </w:p>
        </w:tc>
        <w:tc>
          <w:tcPr>
            <w:tcW w:w="3180" w:type="dxa"/>
            <w:tcMar>
              <w:top w:w="0" w:type="dxa"/>
              <w:bottom w:w="0" w:type="dxa"/>
            </w:tcMar>
            <w:vAlign w:val="center"/>
          </w:tcPr>
          <w:p w14:paraId="4319AEA1" w14:textId="77777777" w:rsidR="0043400B"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B4D2AA2" w14:textId="77777777" w:rsidR="0043400B" w:rsidRDefault="00000000">
            <w:pPr>
              <w:keepNext/>
              <w:keepLines/>
              <w:spacing w:after="0" w:line="240" w:lineRule="auto"/>
            </w:pPr>
            <w:r>
              <w:rPr>
                <w:b/>
                <w:sz w:val="18"/>
              </w:rPr>
              <w:t>X003, Y003</w:t>
            </w:r>
          </w:p>
        </w:tc>
        <w:tc>
          <w:tcPr>
            <w:tcW w:w="1860" w:type="dxa"/>
            <w:tcMar>
              <w:top w:w="0" w:type="dxa"/>
              <w:bottom w:w="0" w:type="dxa"/>
            </w:tcMar>
            <w:vAlign w:val="center"/>
          </w:tcPr>
          <w:p w14:paraId="6A696204" w14:textId="77777777" w:rsidR="0043400B" w:rsidRDefault="00000000">
            <w:pPr>
              <w:keepNext/>
              <w:keepLines/>
              <w:spacing w:after="0" w:line="240" w:lineRule="auto"/>
              <w:jc w:val="right"/>
            </w:pPr>
            <w:r>
              <w:rPr>
                <w:b/>
                <w:sz w:val="18"/>
              </w:rPr>
              <w:t>0,00</w:t>
            </w:r>
          </w:p>
        </w:tc>
        <w:tc>
          <w:tcPr>
            <w:tcW w:w="1860" w:type="dxa"/>
            <w:tcMar>
              <w:top w:w="0" w:type="dxa"/>
              <w:bottom w:w="0" w:type="dxa"/>
            </w:tcMar>
            <w:vAlign w:val="center"/>
          </w:tcPr>
          <w:p w14:paraId="67E21322" w14:textId="77777777" w:rsidR="0043400B" w:rsidRDefault="00000000">
            <w:pPr>
              <w:keepNext/>
              <w:keepLines/>
              <w:spacing w:after="0" w:line="240" w:lineRule="auto"/>
              <w:jc w:val="right"/>
            </w:pPr>
            <w:r>
              <w:rPr>
                <w:b/>
                <w:sz w:val="18"/>
              </w:rPr>
              <w:t>0,00</w:t>
            </w:r>
          </w:p>
        </w:tc>
        <w:tc>
          <w:tcPr>
            <w:tcW w:w="700" w:type="dxa"/>
            <w:tcMar>
              <w:top w:w="0" w:type="dxa"/>
              <w:bottom w:w="0" w:type="dxa"/>
            </w:tcMar>
            <w:vAlign w:val="center"/>
          </w:tcPr>
          <w:p w14:paraId="6704FDD4" w14:textId="77777777" w:rsidR="0043400B" w:rsidRDefault="00000000">
            <w:pPr>
              <w:keepNext/>
              <w:keepLines/>
              <w:spacing w:after="0" w:line="240" w:lineRule="auto"/>
              <w:jc w:val="right"/>
            </w:pPr>
            <w:r>
              <w:rPr>
                <w:b/>
                <w:sz w:val="18"/>
              </w:rPr>
              <w:t>-</w:t>
            </w:r>
          </w:p>
        </w:tc>
      </w:tr>
      <w:tr w:rsidR="0043400B" w14:paraId="50757EBF" w14:textId="77777777">
        <w:tblPrEx>
          <w:tblCellMar>
            <w:top w:w="0" w:type="dxa"/>
            <w:bottom w:w="0" w:type="dxa"/>
          </w:tblCellMar>
        </w:tblPrEx>
        <w:trPr>
          <w:cantSplit/>
          <w:trHeight w:val="560"/>
        </w:trPr>
        <w:tc>
          <w:tcPr>
            <w:tcW w:w="700" w:type="dxa"/>
            <w:tcMar>
              <w:top w:w="0" w:type="dxa"/>
              <w:bottom w:w="0" w:type="dxa"/>
            </w:tcMar>
            <w:vAlign w:val="center"/>
          </w:tcPr>
          <w:p w14:paraId="720B85E1" w14:textId="77777777" w:rsidR="0043400B" w:rsidRDefault="0043400B">
            <w:pPr>
              <w:keepNext/>
              <w:keepLines/>
              <w:spacing w:after="0" w:line="240" w:lineRule="auto"/>
            </w:pPr>
          </w:p>
        </w:tc>
        <w:tc>
          <w:tcPr>
            <w:tcW w:w="3180" w:type="dxa"/>
            <w:tcMar>
              <w:top w:w="0" w:type="dxa"/>
              <w:bottom w:w="0" w:type="dxa"/>
            </w:tcMar>
            <w:vAlign w:val="center"/>
          </w:tcPr>
          <w:p w14:paraId="3F1BF4B6" w14:textId="77777777" w:rsidR="0043400B"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E87BA38" w14:textId="77777777" w:rsidR="0043400B" w:rsidRDefault="00000000">
            <w:pPr>
              <w:keepNext/>
              <w:keepLines/>
              <w:spacing w:after="0" w:line="240" w:lineRule="auto"/>
            </w:pPr>
            <w:r>
              <w:rPr>
                <w:b/>
                <w:sz w:val="18"/>
              </w:rPr>
              <w:t>Y005</w:t>
            </w:r>
          </w:p>
        </w:tc>
        <w:tc>
          <w:tcPr>
            <w:tcW w:w="1860" w:type="dxa"/>
            <w:tcMar>
              <w:top w:w="0" w:type="dxa"/>
              <w:bottom w:w="0" w:type="dxa"/>
            </w:tcMar>
            <w:vAlign w:val="center"/>
          </w:tcPr>
          <w:p w14:paraId="27FFB07D" w14:textId="77777777" w:rsidR="0043400B" w:rsidRDefault="00000000">
            <w:pPr>
              <w:keepNext/>
              <w:keepLines/>
              <w:spacing w:after="0" w:line="240" w:lineRule="auto"/>
              <w:jc w:val="right"/>
            </w:pPr>
            <w:r>
              <w:rPr>
                <w:b/>
                <w:sz w:val="18"/>
              </w:rPr>
              <w:t>0,00</w:t>
            </w:r>
          </w:p>
        </w:tc>
        <w:tc>
          <w:tcPr>
            <w:tcW w:w="1860" w:type="dxa"/>
            <w:tcMar>
              <w:top w:w="0" w:type="dxa"/>
              <w:bottom w:w="0" w:type="dxa"/>
            </w:tcMar>
            <w:vAlign w:val="center"/>
          </w:tcPr>
          <w:p w14:paraId="17228374" w14:textId="77777777" w:rsidR="0043400B" w:rsidRDefault="00000000">
            <w:pPr>
              <w:keepNext/>
              <w:keepLines/>
              <w:spacing w:after="0" w:line="240" w:lineRule="auto"/>
              <w:jc w:val="right"/>
            </w:pPr>
            <w:r>
              <w:rPr>
                <w:b/>
                <w:sz w:val="18"/>
              </w:rPr>
              <w:t>1.765,63</w:t>
            </w:r>
          </w:p>
        </w:tc>
        <w:tc>
          <w:tcPr>
            <w:tcW w:w="700" w:type="dxa"/>
            <w:tcMar>
              <w:top w:w="0" w:type="dxa"/>
              <w:bottom w:w="0" w:type="dxa"/>
            </w:tcMar>
            <w:vAlign w:val="center"/>
          </w:tcPr>
          <w:p w14:paraId="2219BD07" w14:textId="77777777" w:rsidR="0043400B" w:rsidRDefault="00000000">
            <w:pPr>
              <w:keepNext/>
              <w:keepLines/>
              <w:spacing w:after="0" w:line="240" w:lineRule="auto"/>
              <w:jc w:val="right"/>
            </w:pPr>
            <w:r>
              <w:rPr>
                <w:b/>
                <w:sz w:val="18"/>
              </w:rPr>
              <w:t>-</w:t>
            </w:r>
          </w:p>
        </w:tc>
      </w:tr>
    </w:tbl>
    <w:p w14:paraId="468C50FC" w14:textId="77777777" w:rsidR="0043400B" w:rsidRDefault="0043400B">
      <w:pPr>
        <w:spacing w:after="0"/>
      </w:pPr>
    </w:p>
    <w:p w14:paraId="100BA718" w14:textId="77777777" w:rsidR="0043400B" w:rsidRDefault="00000000">
      <w:r>
        <w:t>Prihodi poslovanja u iznosu od 76.710,07 €,od čega su prihodi od nadležnog proračuna = 56.545,67 za plaće i materijalne rashode 44.263,08 te za nabavu nefinancijske imovine 12.814,26.Kapitalne pomoći proračunskim korisnicima iz proračuna koji im nije nadležan =7.000,00 za nabavu knjiga „redovno i otkup“.  Kamate na oročena sredstva i depozite po viđenju 0,14 i Prihod od članarina 350,00 predanih u NP .</w:t>
      </w:r>
    </w:p>
    <w:p w14:paraId="2A160B80" w14:textId="77777777" w:rsidR="0043400B" w:rsidRDefault="00000000">
      <w:r>
        <w:lastRenderedPageBreak/>
        <w:t>Prihodi bilježe rast  u odnosu na prethodnu godinu iz razloga što je u prvom kvartalu  nabavljena  oprema za  konferencijski prostor iz  proračuna osnivača kao i rashodi za redovno poslovanje ponajviše radi povećanja osnovice za obračun plaće i  nabavljene su  knjige za cijeli planirani iznos iz izvora Nadležnog proračuna.  </w:t>
      </w:r>
    </w:p>
    <w:p w14:paraId="2AC407CA" w14:textId="77777777" w:rsidR="0043400B" w:rsidRDefault="00000000">
      <w:r>
        <w:t xml:space="preserve">Rashodi poslovanja u iznosu od 78.475,70€ izvršeni su više u odnosu na prethodnu godinu  radi povećanja osnovice za plaće i knjiženja plaće iz prosinca u siječnju tako da je sada knjiženo 13 plaća te knjiženja naknada za topli obrok i nagrada koje su se prethodnih godina knjižile u mjesecu srpnju . Rashodi za </w:t>
      </w:r>
      <w:proofErr w:type="spellStart"/>
      <w:r>
        <w:t>maetrijal</w:t>
      </w:r>
      <w:proofErr w:type="spellEnd"/>
      <w:r>
        <w:t xml:space="preserve"> i energiju  su u porastu radi povećanja cijena roba i usluga na tržištu, najveće odstupanje je radi nabave sitnog inventara i usluga tekućeg održavanja građevinskog objekta te računalnih usluga radi nabave aplikacije </w:t>
      </w:r>
      <w:proofErr w:type="spellStart"/>
      <w:r>
        <w:t>eUredsko</w:t>
      </w:r>
      <w:proofErr w:type="spellEnd"/>
      <w:r>
        <w:t>. Ukupni rashodi za nabavu nefinancijske imovine odstupaju u odnosu na prethodnu godinu sukladno planiranim sredstvima od Nadležnog proračuna (NP) </w:t>
      </w:r>
    </w:p>
    <w:p w14:paraId="3D6BA580" w14:textId="77777777" w:rsidR="0043400B" w:rsidRDefault="00000000">
      <w:r>
        <w:t xml:space="preserve">Narodna knjižnica i čitaonica Lipovljani nema primljenih i danih zajmova niti potencijalnih obveza  u 2025.g. Trenutno zaposlenih osoba je 2, ravnateljica koja koristi </w:t>
      </w:r>
      <w:proofErr w:type="spellStart"/>
      <w:r>
        <w:t>rodiljni</w:t>
      </w:r>
      <w:proofErr w:type="spellEnd"/>
      <w:r>
        <w:t xml:space="preserve"> i roditeljski dopust te pomoćni knjižničar primljen  na određeno vrijeme.</w:t>
      </w:r>
    </w:p>
    <w:p w14:paraId="65B90686" w14:textId="77777777" w:rsidR="0043400B" w:rsidRDefault="00000000">
      <w:r>
        <w:br/>
      </w:r>
    </w:p>
    <w:p w14:paraId="063C3985" w14:textId="77777777" w:rsidR="0043400B"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71DDF8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7759F0"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C235FD"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9DF0AC"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26AE15"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F12CED"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555D01" w14:textId="77777777" w:rsidR="0043400B" w:rsidRDefault="00000000">
            <w:pPr>
              <w:keepNext/>
              <w:keepLines/>
              <w:spacing w:after="0" w:line="240" w:lineRule="auto"/>
              <w:jc w:val="center"/>
            </w:pPr>
            <w:r>
              <w:rPr>
                <w:b/>
                <w:sz w:val="18"/>
              </w:rPr>
              <w:t>Indeks (%)</w:t>
            </w:r>
          </w:p>
        </w:tc>
      </w:tr>
      <w:tr w:rsidR="0043400B" w14:paraId="29077C81" w14:textId="77777777">
        <w:tblPrEx>
          <w:tblCellMar>
            <w:top w:w="0" w:type="dxa"/>
            <w:bottom w:w="0" w:type="dxa"/>
          </w:tblCellMar>
        </w:tblPrEx>
        <w:trPr>
          <w:cantSplit/>
          <w:trHeight w:val="560"/>
        </w:trPr>
        <w:tc>
          <w:tcPr>
            <w:tcW w:w="700" w:type="dxa"/>
            <w:tcMar>
              <w:top w:w="0" w:type="dxa"/>
              <w:bottom w:w="0" w:type="dxa"/>
            </w:tcMar>
            <w:vAlign w:val="center"/>
          </w:tcPr>
          <w:p w14:paraId="6B954FE7" w14:textId="77777777" w:rsidR="0043400B" w:rsidRDefault="00000000">
            <w:pPr>
              <w:keepNext/>
              <w:keepLines/>
              <w:spacing w:after="0" w:line="240" w:lineRule="auto"/>
            </w:pPr>
            <w:r>
              <w:rPr>
                <w:sz w:val="18"/>
              </w:rPr>
              <w:t>6</w:t>
            </w:r>
          </w:p>
        </w:tc>
        <w:tc>
          <w:tcPr>
            <w:tcW w:w="3180" w:type="dxa"/>
            <w:tcMar>
              <w:top w:w="0" w:type="dxa"/>
              <w:bottom w:w="0" w:type="dxa"/>
            </w:tcMar>
            <w:vAlign w:val="center"/>
          </w:tcPr>
          <w:p w14:paraId="5A27358C" w14:textId="77777777" w:rsidR="0043400B"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D3E139A" w14:textId="77777777" w:rsidR="0043400B" w:rsidRDefault="00000000">
            <w:pPr>
              <w:keepNext/>
              <w:keepLines/>
              <w:spacing w:after="0" w:line="240" w:lineRule="auto"/>
            </w:pPr>
            <w:r>
              <w:rPr>
                <w:sz w:val="18"/>
              </w:rPr>
              <w:t>6</w:t>
            </w:r>
          </w:p>
        </w:tc>
        <w:tc>
          <w:tcPr>
            <w:tcW w:w="1860" w:type="dxa"/>
            <w:tcMar>
              <w:top w:w="0" w:type="dxa"/>
              <w:bottom w:w="0" w:type="dxa"/>
            </w:tcMar>
            <w:vAlign w:val="center"/>
          </w:tcPr>
          <w:p w14:paraId="4182C952" w14:textId="77777777" w:rsidR="0043400B" w:rsidRDefault="00000000">
            <w:pPr>
              <w:keepNext/>
              <w:keepLines/>
              <w:spacing w:after="0" w:line="240" w:lineRule="auto"/>
              <w:jc w:val="right"/>
            </w:pPr>
            <w:r>
              <w:rPr>
                <w:sz w:val="18"/>
              </w:rPr>
              <w:t>66.535,89</w:t>
            </w:r>
          </w:p>
        </w:tc>
        <w:tc>
          <w:tcPr>
            <w:tcW w:w="1860" w:type="dxa"/>
            <w:tcMar>
              <w:top w:w="0" w:type="dxa"/>
              <w:bottom w:w="0" w:type="dxa"/>
            </w:tcMar>
            <w:vAlign w:val="center"/>
          </w:tcPr>
          <w:p w14:paraId="5172287A" w14:textId="77777777" w:rsidR="0043400B" w:rsidRDefault="00000000">
            <w:pPr>
              <w:keepNext/>
              <w:keepLines/>
              <w:spacing w:after="0" w:line="240" w:lineRule="auto"/>
              <w:jc w:val="right"/>
            </w:pPr>
            <w:r>
              <w:rPr>
                <w:sz w:val="18"/>
              </w:rPr>
              <w:t>76.710,07</w:t>
            </w:r>
          </w:p>
        </w:tc>
        <w:tc>
          <w:tcPr>
            <w:tcW w:w="700" w:type="dxa"/>
            <w:tcMar>
              <w:top w:w="0" w:type="dxa"/>
              <w:bottom w:w="0" w:type="dxa"/>
            </w:tcMar>
            <w:vAlign w:val="center"/>
          </w:tcPr>
          <w:p w14:paraId="2387BA6C" w14:textId="77777777" w:rsidR="0043400B" w:rsidRDefault="00000000">
            <w:pPr>
              <w:keepNext/>
              <w:keepLines/>
              <w:spacing w:after="0" w:line="240" w:lineRule="auto"/>
              <w:jc w:val="right"/>
            </w:pPr>
            <w:r>
              <w:rPr>
                <w:sz w:val="18"/>
              </w:rPr>
              <w:t>115,3</w:t>
            </w:r>
          </w:p>
        </w:tc>
      </w:tr>
    </w:tbl>
    <w:p w14:paraId="1F402E57" w14:textId="77777777" w:rsidR="0043400B" w:rsidRDefault="0043400B">
      <w:pPr>
        <w:spacing w:after="0"/>
      </w:pPr>
    </w:p>
    <w:p w14:paraId="7C3E9266" w14:textId="77777777" w:rsidR="0043400B" w:rsidRDefault="00000000">
      <w:r>
        <w:t>Prihodi bilježe rast  u odnosu na prethodnu godinu iz razloga što je u prvom kvartalu  nabavljena  oprema za  konferencijski prostor iz  proračuna osnivača kao i rashodi za redovno poslovanje ponajviše radi povećanja osnovice za obračun plaće i  nabavljene su  knjige za cijeli planirani iznos iz izvora Nadležnog proračuna. Novčanim tijekom se povećavaju prihodi i rashodi.</w:t>
      </w:r>
    </w:p>
    <w:p w14:paraId="0783483F" w14:textId="77777777" w:rsidR="0043400B" w:rsidRDefault="00000000">
      <w:r>
        <w:t>Prihodi poslovanja ostvareni su u iznosu od 76.710,07 €,od čega su prihodi od nadležnog proračuna = 56.545,67 za plaće i materijalne rashode 44.263,08 te za nabavu nefinancijske imovine 12.814,26. Kapitalne pomoći proračunskim korisnicima iz proračuna koji im nije nadležan ostvareni su u iznosu od =7.000,00 za nabavu knjiga „redovno i otkup“.  Kamate na oročena sredstva i depozite po viđenju 0,14 i Prihod od članarina 350,00 predanih u NP .</w:t>
      </w:r>
    </w:p>
    <w:p w14:paraId="52774FA9" w14:textId="77777777" w:rsidR="0043400B" w:rsidRDefault="0043400B"/>
    <w:p w14:paraId="4637D7C4" w14:textId="77777777" w:rsidR="0043400B"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72CCC2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5D5E15"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EF2A58"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3815DD"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AB72FC"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671420"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7BDCA6" w14:textId="77777777" w:rsidR="0043400B" w:rsidRDefault="00000000">
            <w:pPr>
              <w:keepNext/>
              <w:keepLines/>
              <w:spacing w:after="0" w:line="240" w:lineRule="auto"/>
              <w:jc w:val="center"/>
            </w:pPr>
            <w:r>
              <w:rPr>
                <w:b/>
                <w:sz w:val="18"/>
              </w:rPr>
              <w:t>Indeks (%)</w:t>
            </w:r>
          </w:p>
        </w:tc>
      </w:tr>
      <w:tr w:rsidR="0043400B" w14:paraId="03F4F0E5" w14:textId="77777777">
        <w:tblPrEx>
          <w:tblCellMar>
            <w:top w:w="0" w:type="dxa"/>
            <w:bottom w:w="0" w:type="dxa"/>
          </w:tblCellMar>
        </w:tblPrEx>
        <w:trPr>
          <w:cantSplit/>
          <w:trHeight w:val="560"/>
        </w:trPr>
        <w:tc>
          <w:tcPr>
            <w:tcW w:w="700" w:type="dxa"/>
            <w:tcMar>
              <w:top w:w="0" w:type="dxa"/>
              <w:bottom w:w="0" w:type="dxa"/>
            </w:tcMar>
            <w:vAlign w:val="center"/>
          </w:tcPr>
          <w:p w14:paraId="343BFB01" w14:textId="77777777" w:rsidR="0043400B" w:rsidRDefault="00000000">
            <w:pPr>
              <w:keepNext/>
              <w:keepLines/>
              <w:spacing w:after="0" w:line="240" w:lineRule="auto"/>
            </w:pPr>
            <w:r>
              <w:rPr>
                <w:sz w:val="18"/>
              </w:rPr>
              <w:t>63</w:t>
            </w:r>
          </w:p>
        </w:tc>
        <w:tc>
          <w:tcPr>
            <w:tcW w:w="3180" w:type="dxa"/>
            <w:tcMar>
              <w:top w:w="0" w:type="dxa"/>
              <w:bottom w:w="0" w:type="dxa"/>
            </w:tcMar>
            <w:vAlign w:val="center"/>
          </w:tcPr>
          <w:p w14:paraId="7C193066" w14:textId="77777777" w:rsidR="0043400B"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6D62AD7E" w14:textId="77777777" w:rsidR="0043400B" w:rsidRDefault="00000000">
            <w:pPr>
              <w:keepNext/>
              <w:keepLines/>
              <w:spacing w:after="0" w:line="240" w:lineRule="auto"/>
            </w:pPr>
            <w:r>
              <w:rPr>
                <w:sz w:val="18"/>
              </w:rPr>
              <w:t>63</w:t>
            </w:r>
          </w:p>
        </w:tc>
        <w:tc>
          <w:tcPr>
            <w:tcW w:w="1860" w:type="dxa"/>
            <w:tcMar>
              <w:top w:w="0" w:type="dxa"/>
              <w:bottom w:w="0" w:type="dxa"/>
            </w:tcMar>
            <w:vAlign w:val="center"/>
          </w:tcPr>
          <w:p w14:paraId="7DA69F19" w14:textId="77777777" w:rsidR="0043400B" w:rsidRDefault="00000000">
            <w:pPr>
              <w:keepNext/>
              <w:keepLines/>
              <w:spacing w:after="0" w:line="240" w:lineRule="auto"/>
              <w:jc w:val="right"/>
            </w:pPr>
            <w:r>
              <w:rPr>
                <w:sz w:val="18"/>
              </w:rPr>
              <w:t>6.400,00</w:t>
            </w:r>
          </w:p>
        </w:tc>
        <w:tc>
          <w:tcPr>
            <w:tcW w:w="1860" w:type="dxa"/>
            <w:tcMar>
              <w:top w:w="0" w:type="dxa"/>
              <w:bottom w:w="0" w:type="dxa"/>
            </w:tcMar>
            <w:vAlign w:val="center"/>
          </w:tcPr>
          <w:p w14:paraId="7C328AAC" w14:textId="77777777" w:rsidR="0043400B" w:rsidRDefault="00000000">
            <w:pPr>
              <w:keepNext/>
              <w:keepLines/>
              <w:spacing w:after="0" w:line="240" w:lineRule="auto"/>
              <w:jc w:val="right"/>
            </w:pPr>
            <w:r>
              <w:rPr>
                <w:sz w:val="18"/>
              </w:rPr>
              <w:t>7.000,00</w:t>
            </w:r>
          </w:p>
        </w:tc>
        <w:tc>
          <w:tcPr>
            <w:tcW w:w="700" w:type="dxa"/>
            <w:tcMar>
              <w:top w:w="0" w:type="dxa"/>
              <w:bottom w:w="0" w:type="dxa"/>
            </w:tcMar>
            <w:vAlign w:val="center"/>
          </w:tcPr>
          <w:p w14:paraId="39FEEDC8" w14:textId="77777777" w:rsidR="0043400B" w:rsidRDefault="00000000">
            <w:pPr>
              <w:keepNext/>
              <w:keepLines/>
              <w:spacing w:after="0" w:line="240" w:lineRule="auto"/>
              <w:jc w:val="right"/>
            </w:pPr>
            <w:r>
              <w:rPr>
                <w:sz w:val="18"/>
              </w:rPr>
              <w:t>109,4</w:t>
            </w:r>
          </w:p>
        </w:tc>
      </w:tr>
    </w:tbl>
    <w:p w14:paraId="66CA2F7F" w14:textId="77777777" w:rsidR="0043400B" w:rsidRDefault="0043400B">
      <w:pPr>
        <w:spacing w:after="0"/>
      </w:pPr>
    </w:p>
    <w:p w14:paraId="758CFEB7" w14:textId="77777777" w:rsidR="0043400B" w:rsidRDefault="00000000">
      <w:r>
        <w:t>Kapitalna pomoć od Ministarstva kulture i medija na temelju potpisanih ugovora za redovnu godišnju nabavu knjiga te za otkup knjiga na temelju javnog poziva knjižnicama za iskazan interes otkupa. Ugovorno se dodjeljuje 80% nakon potpisivanja a ostatak nakon pravdanja nabave. U skladu sa ugovornim obvezama Knjižnica treba uvijek imati svojih vlastitih sredstava kako bi premostila još 20% rashoda za nabavu knjiga kako bi se pravdala sredstva ukupne nabave a potom prihodovala ostatak po ugovoru.</w:t>
      </w:r>
    </w:p>
    <w:p w14:paraId="3D149BAE" w14:textId="77777777" w:rsidR="0043400B" w:rsidRDefault="0043400B"/>
    <w:p w14:paraId="5AA53CF3" w14:textId="77777777" w:rsidR="0043400B"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5588A2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200ED9"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E642C5"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9C5249"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0DA8BE"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0F3BFE"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7D573E" w14:textId="77777777" w:rsidR="0043400B" w:rsidRDefault="00000000">
            <w:pPr>
              <w:keepNext/>
              <w:keepLines/>
              <w:spacing w:after="0" w:line="240" w:lineRule="auto"/>
              <w:jc w:val="center"/>
            </w:pPr>
            <w:r>
              <w:rPr>
                <w:b/>
                <w:sz w:val="18"/>
              </w:rPr>
              <w:t>Indeks (%)</w:t>
            </w:r>
          </w:p>
        </w:tc>
      </w:tr>
      <w:tr w:rsidR="0043400B" w14:paraId="5A408204" w14:textId="77777777">
        <w:tblPrEx>
          <w:tblCellMar>
            <w:top w:w="0" w:type="dxa"/>
            <w:bottom w:w="0" w:type="dxa"/>
          </w:tblCellMar>
        </w:tblPrEx>
        <w:trPr>
          <w:cantSplit/>
          <w:trHeight w:val="560"/>
        </w:trPr>
        <w:tc>
          <w:tcPr>
            <w:tcW w:w="700" w:type="dxa"/>
            <w:tcMar>
              <w:top w:w="0" w:type="dxa"/>
              <w:bottom w:w="0" w:type="dxa"/>
            </w:tcMar>
            <w:vAlign w:val="center"/>
          </w:tcPr>
          <w:p w14:paraId="75CC9660" w14:textId="77777777" w:rsidR="0043400B" w:rsidRDefault="00000000">
            <w:pPr>
              <w:keepNext/>
              <w:keepLines/>
              <w:spacing w:after="0" w:line="240" w:lineRule="auto"/>
            </w:pPr>
            <w:r>
              <w:rPr>
                <w:sz w:val="18"/>
              </w:rPr>
              <w:t>65</w:t>
            </w:r>
          </w:p>
        </w:tc>
        <w:tc>
          <w:tcPr>
            <w:tcW w:w="3180" w:type="dxa"/>
            <w:tcMar>
              <w:top w:w="0" w:type="dxa"/>
              <w:bottom w:w="0" w:type="dxa"/>
            </w:tcMar>
            <w:vAlign w:val="center"/>
          </w:tcPr>
          <w:p w14:paraId="44B1CC19" w14:textId="77777777" w:rsidR="0043400B"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73EFB239" w14:textId="77777777" w:rsidR="0043400B" w:rsidRDefault="00000000">
            <w:pPr>
              <w:keepNext/>
              <w:keepLines/>
              <w:spacing w:after="0" w:line="240" w:lineRule="auto"/>
            </w:pPr>
            <w:r>
              <w:rPr>
                <w:sz w:val="18"/>
              </w:rPr>
              <w:t>65</w:t>
            </w:r>
          </w:p>
        </w:tc>
        <w:tc>
          <w:tcPr>
            <w:tcW w:w="1860" w:type="dxa"/>
            <w:tcMar>
              <w:top w:w="0" w:type="dxa"/>
              <w:bottom w:w="0" w:type="dxa"/>
            </w:tcMar>
            <w:vAlign w:val="center"/>
          </w:tcPr>
          <w:p w14:paraId="4D951810" w14:textId="77777777" w:rsidR="0043400B" w:rsidRDefault="00000000">
            <w:pPr>
              <w:keepNext/>
              <w:keepLines/>
              <w:spacing w:after="0" w:line="240" w:lineRule="auto"/>
              <w:jc w:val="right"/>
            </w:pPr>
            <w:r>
              <w:rPr>
                <w:sz w:val="18"/>
              </w:rPr>
              <w:t>318,40</w:t>
            </w:r>
          </w:p>
        </w:tc>
        <w:tc>
          <w:tcPr>
            <w:tcW w:w="1860" w:type="dxa"/>
            <w:tcMar>
              <w:top w:w="0" w:type="dxa"/>
              <w:bottom w:w="0" w:type="dxa"/>
            </w:tcMar>
            <w:vAlign w:val="center"/>
          </w:tcPr>
          <w:p w14:paraId="6BC8F241" w14:textId="77777777" w:rsidR="0043400B" w:rsidRDefault="00000000">
            <w:pPr>
              <w:keepNext/>
              <w:keepLines/>
              <w:spacing w:after="0" w:line="240" w:lineRule="auto"/>
              <w:jc w:val="right"/>
            </w:pPr>
            <w:r>
              <w:rPr>
                <w:sz w:val="18"/>
              </w:rPr>
              <w:t>350,00</w:t>
            </w:r>
          </w:p>
        </w:tc>
        <w:tc>
          <w:tcPr>
            <w:tcW w:w="700" w:type="dxa"/>
            <w:tcMar>
              <w:top w:w="0" w:type="dxa"/>
              <w:bottom w:w="0" w:type="dxa"/>
            </w:tcMar>
            <w:vAlign w:val="center"/>
          </w:tcPr>
          <w:p w14:paraId="17029CA7" w14:textId="77777777" w:rsidR="0043400B" w:rsidRDefault="00000000">
            <w:pPr>
              <w:keepNext/>
              <w:keepLines/>
              <w:spacing w:after="0" w:line="240" w:lineRule="auto"/>
              <w:jc w:val="right"/>
            </w:pPr>
            <w:r>
              <w:rPr>
                <w:sz w:val="18"/>
              </w:rPr>
              <w:t>109,9</w:t>
            </w:r>
          </w:p>
        </w:tc>
      </w:tr>
    </w:tbl>
    <w:p w14:paraId="77C8BB00" w14:textId="77777777" w:rsidR="0043400B" w:rsidRDefault="0043400B">
      <w:pPr>
        <w:spacing w:after="0"/>
      </w:pPr>
    </w:p>
    <w:p w14:paraId="6ABAF040" w14:textId="77777777" w:rsidR="0043400B" w:rsidRDefault="00000000">
      <w:r>
        <w:t xml:space="preserve">Prihodi od upravnih i administrativnih pristojbi ,pristojbi po posebnim propisima i naknada ;  Ostali nespomenuti prihodi , participacija je za naplatu članarina i </w:t>
      </w:r>
      <w:proofErr w:type="spellStart"/>
      <w:r>
        <w:t>zakasnina</w:t>
      </w:r>
      <w:proofErr w:type="spellEnd"/>
      <w:r>
        <w:t xml:space="preserve"> za posuđene knjige , indeks je nešto veći  u donosu na prethodnu godinu radi pružanja popularnih prigodnih akcija besplatnog učlanjenja u znaku Mjeseca knjige u prethodnoj godini . </w:t>
      </w:r>
    </w:p>
    <w:p w14:paraId="209FADD4" w14:textId="77777777" w:rsidR="0043400B" w:rsidRDefault="0043400B"/>
    <w:p w14:paraId="28DC6B0B" w14:textId="77777777" w:rsidR="0043400B"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1A0A15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035459"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C79B85"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A61835"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FB6965"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070DC0"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A75238" w14:textId="77777777" w:rsidR="0043400B" w:rsidRDefault="00000000">
            <w:pPr>
              <w:keepNext/>
              <w:keepLines/>
              <w:spacing w:after="0" w:line="240" w:lineRule="auto"/>
              <w:jc w:val="center"/>
            </w:pPr>
            <w:r>
              <w:rPr>
                <w:b/>
                <w:sz w:val="18"/>
              </w:rPr>
              <w:t>Indeks (%)</w:t>
            </w:r>
          </w:p>
        </w:tc>
      </w:tr>
      <w:tr w:rsidR="0043400B" w14:paraId="52F60077" w14:textId="77777777">
        <w:tblPrEx>
          <w:tblCellMar>
            <w:top w:w="0" w:type="dxa"/>
            <w:bottom w:w="0" w:type="dxa"/>
          </w:tblCellMar>
        </w:tblPrEx>
        <w:trPr>
          <w:cantSplit/>
          <w:trHeight w:val="560"/>
        </w:trPr>
        <w:tc>
          <w:tcPr>
            <w:tcW w:w="700" w:type="dxa"/>
            <w:tcMar>
              <w:top w:w="0" w:type="dxa"/>
              <w:bottom w:w="0" w:type="dxa"/>
            </w:tcMar>
            <w:vAlign w:val="center"/>
          </w:tcPr>
          <w:p w14:paraId="0FE86DBB" w14:textId="77777777" w:rsidR="0043400B" w:rsidRDefault="00000000">
            <w:pPr>
              <w:keepNext/>
              <w:keepLines/>
              <w:spacing w:after="0" w:line="240" w:lineRule="auto"/>
            </w:pPr>
            <w:r>
              <w:rPr>
                <w:sz w:val="18"/>
              </w:rPr>
              <w:t>6711</w:t>
            </w:r>
          </w:p>
        </w:tc>
        <w:tc>
          <w:tcPr>
            <w:tcW w:w="3180" w:type="dxa"/>
            <w:tcMar>
              <w:top w:w="0" w:type="dxa"/>
              <w:bottom w:w="0" w:type="dxa"/>
            </w:tcMar>
            <w:vAlign w:val="center"/>
          </w:tcPr>
          <w:p w14:paraId="62C64D50" w14:textId="77777777" w:rsidR="0043400B"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6C90E09C" w14:textId="77777777" w:rsidR="0043400B" w:rsidRDefault="00000000">
            <w:pPr>
              <w:keepNext/>
              <w:keepLines/>
              <w:spacing w:after="0" w:line="240" w:lineRule="auto"/>
            </w:pPr>
            <w:r>
              <w:rPr>
                <w:sz w:val="18"/>
              </w:rPr>
              <w:t>6711</w:t>
            </w:r>
          </w:p>
        </w:tc>
        <w:tc>
          <w:tcPr>
            <w:tcW w:w="1860" w:type="dxa"/>
            <w:tcMar>
              <w:top w:w="0" w:type="dxa"/>
              <w:bottom w:w="0" w:type="dxa"/>
            </w:tcMar>
            <w:vAlign w:val="center"/>
          </w:tcPr>
          <w:p w14:paraId="0D05A5C1" w14:textId="77777777" w:rsidR="0043400B" w:rsidRDefault="00000000">
            <w:pPr>
              <w:keepNext/>
              <w:keepLines/>
              <w:spacing w:after="0" w:line="240" w:lineRule="auto"/>
              <w:jc w:val="right"/>
            </w:pPr>
            <w:r>
              <w:rPr>
                <w:sz w:val="18"/>
              </w:rPr>
              <w:t>56.064,16</w:t>
            </w:r>
          </w:p>
        </w:tc>
        <w:tc>
          <w:tcPr>
            <w:tcW w:w="1860" w:type="dxa"/>
            <w:tcMar>
              <w:top w:w="0" w:type="dxa"/>
              <w:bottom w:w="0" w:type="dxa"/>
            </w:tcMar>
            <w:vAlign w:val="center"/>
          </w:tcPr>
          <w:p w14:paraId="2CB491F0" w14:textId="77777777" w:rsidR="0043400B" w:rsidRDefault="00000000">
            <w:pPr>
              <w:keepNext/>
              <w:keepLines/>
              <w:spacing w:after="0" w:line="240" w:lineRule="auto"/>
              <w:jc w:val="right"/>
            </w:pPr>
            <w:r>
              <w:rPr>
                <w:sz w:val="18"/>
              </w:rPr>
              <w:t>56.545,67</w:t>
            </w:r>
          </w:p>
        </w:tc>
        <w:tc>
          <w:tcPr>
            <w:tcW w:w="700" w:type="dxa"/>
            <w:tcMar>
              <w:top w:w="0" w:type="dxa"/>
              <w:bottom w:w="0" w:type="dxa"/>
            </w:tcMar>
            <w:vAlign w:val="center"/>
          </w:tcPr>
          <w:p w14:paraId="264F8034" w14:textId="77777777" w:rsidR="0043400B" w:rsidRDefault="00000000">
            <w:pPr>
              <w:keepNext/>
              <w:keepLines/>
              <w:spacing w:after="0" w:line="240" w:lineRule="auto"/>
              <w:jc w:val="right"/>
            </w:pPr>
            <w:r>
              <w:rPr>
                <w:sz w:val="18"/>
              </w:rPr>
              <w:t>100,9</w:t>
            </w:r>
          </w:p>
        </w:tc>
      </w:tr>
    </w:tbl>
    <w:p w14:paraId="427CAA33" w14:textId="77777777" w:rsidR="0043400B" w:rsidRDefault="0043400B">
      <w:pPr>
        <w:spacing w:after="0"/>
      </w:pPr>
    </w:p>
    <w:p w14:paraId="439A3F9E" w14:textId="77777777" w:rsidR="0043400B" w:rsidRDefault="00000000">
      <w:r>
        <w:t xml:space="preserve">Prihodi od nadležnog proračuna za financiranje rashoda poslovanja rač.br.6711 financira proračunskog korisnika za plaće i materijalne rashode ,indeks je mrvicu veći u odnosu na prethodnu godinu radi povećanja koeficijenta za obračun plaće zaposlenika te planiranih rashoda za tekuće održavanje građevinskog objekta  što je realizirano u prvom kvartalu. Navedeno povećanje nije toliko vidljivo iz razloga što je ravnateljica na </w:t>
      </w:r>
      <w:proofErr w:type="spellStart"/>
      <w:r>
        <w:t>rodiljnom</w:t>
      </w:r>
      <w:proofErr w:type="spellEnd"/>
      <w:r>
        <w:t xml:space="preserve"> dopustu a plaća se odnosi na pomoćnu radnicu koja je u kumulativu manja od ravnateljičine. </w:t>
      </w:r>
    </w:p>
    <w:p w14:paraId="0F87691E" w14:textId="77777777" w:rsidR="0043400B" w:rsidRDefault="0043400B"/>
    <w:p w14:paraId="58D859C5" w14:textId="77777777" w:rsidR="0043400B" w:rsidRDefault="00000000">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5F3C6D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F8CB68"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A043C0"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53F70B"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390FC1"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1E1FC7"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B5E5C4" w14:textId="77777777" w:rsidR="0043400B" w:rsidRDefault="00000000">
            <w:pPr>
              <w:keepNext/>
              <w:keepLines/>
              <w:spacing w:after="0" w:line="240" w:lineRule="auto"/>
              <w:jc w:val="center"/>
            </w:pPr>
            <w:r>
              <w:rPr>
                <w:b/>
                <w:sz w:val="18"/>
              </w:rPr>
              <w:t>Indeks (%)</w:t>
            </w:r>
          </w:p>
        </w:tc>
      </w:tr>
      <w:tr w:rsidR="0043400B" w14:paraId="67B0A414" w14:textId="77777777">
        <w:tblPrEx>
          <w:tblCellMar>
            <w:top w:w="0" w:type="dxa"/>
            <w:bottom w:w="0" w:type="dxa"/>
          </w:tblCellMar>
        </w:tblPrEx>
        <w:trPr>
          <w:cantSplit/>
          <w:trHeight w:val="560"/>
        </w:trPr>
        <w:tc>
          <w:tcPr>
            <w:tcW w:w="700" w:type="dxa"/>
            <w:tcMar>
              <w:top w:w="0" w:type="dxa"/>
              <w:bottom w:w="0" w:type="dxa"/>
            </w:tcMar>
            <w:vAlign w:val="center"/>
          </w:tcPr>
          <w:p w14:paraId="2C35B43D" w14:textId="77777777" w:rsidR="0043400B" w:rsidRDefault="00000000">
            <w:pPr>
              <w:keepNext/>
              <w:keepLines/>
              <w:spacing w:after="0" w:line="240" w:lineRule="auto"/>
            </w:pPr>
            <w:r>
              <w:rPr>
                <w:sz w:val="18"/>
              </w:rPr>
              <w:t>6712</w:t>
            </w:r>
          </w:p>
        </w:tc>
        <w:tc>
          <w:tcPr>
            <w:tcW w:w="3180" w:type="dxa"/>
            <w:tcMar>
              <w:top w:w="0" w:type="dxa"/>
              <w:bottom w:w="0" w:type="dxa"/>
            </w:tcMar>
            <w:vAlign w:val="center"/>
          </w:tcPr>
          <w:p w14:paraId="23504DEC" w14:textId="77777777" w:rsidR="0043400B"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5ACA0E54" w14:textId="77777777" w:rsidR="0043400B" w:rsidRDefault="00000000">
            <w:pPr>
              <w:keepNext/>
              <w:keepLines/>
              <w:spacing w:after="0" w:line="240" w:lineRule="auto"/>
            </w:pPr>
            <w:r>
              <w:rPr>
                <w:sz w:val="18"/>
              </w:rPr>
              <w:t>6712</w:t>
            </w:r>
          </w:p>
        </w:tc>
        <w:tc>
          <w:tcPr>
            <w:tcW w:w="1860" w:type="dxa"/>
            <w:tcMar>
              <w:top w:w="0" w:type="dxa"/>
              <w:bottom w:w="0" w:type="dxa"/>
            </w:tcMar>
            <w:vAlign w:val="center"/>
          </w:tcPr>
          <w:p w14:paraId="1494A42E" w14:textId="77777777" w:rsidR="0043400B" w:rsidRDefault="00000000">
            <w:pPr>
              <w:keepNext/>
              <w:keepLines/>
              <w:spacing w:after="0" w:line="240" w:lineRule="auto"/>
              <w:jc w:val="right"/>
            </w:pPr>
            <w:r>
              <w:rPr>
                <w:sz w:val="18"/>
              </w:rPr>
              <w:t>3.751,71</w:t>
            </w:r>
          </w:p>
        </w:tc>
        <w:tc>
          <w:tcPr>
            <w:tcW w:w="1860" w:type="dxa"/>
            <w:tcMar>
              <w:top w:w="0" w:type="dxa"/>
              <w:bottom w:w="0" w:type="dxa"/>
            </w:tcMar>
            <w:vAlign w:val="center"/>
          </w:tcPr>
          <w:p w14:paraId="256B2F43" w14:textId="77777777" w:rsidR="0043400B" w:rsidRDefault="00000000">
            <w:pPr>
              <w:keepNext/>
              <w:keepLines/>
              <w:spacing w:after="0" w:line="240" w:lineRule="auto"/>
              <w:jc w:val="right"/>
            </w:pPr>
            <w:r>
              <w:rPr>
                <w:sz w:val="18"/>
              </w:rPr>
              <w:t>12.814,26</w:t>
            </w:r>
          </w:p>
        </w:tc>
        <w:tc>
          <w:tcPr>
            <w:tcW w:w="700" w:type="dxa"/>
            <w:tcMar>
              <w:top w:w="0" w:type="dxa"/>
              <w:bottom w:w="0" w:type="dxa"/>
            </w:tcMar>
            <w:vAlign w:val="center"/>
          </w:tcPr>
          <w:p w14:paraId="1C00D9CF" w14:textId="77777777" w:rsidR="0043400B" w:rsidRDefault="00000000">
            <w:pPr>
              <w:keepNext/>
              <w:keepLines/>
              <w:spacing w:after="0" w:line="240" w:lineRule="auto"/>
              <w:jc w:val="right"/>
            </w:pPr>
            <w:r>
              <w:rPr>
                <w:sz w:val="18"/>
              </w:rPr>
              <w:t>341,6</w:t>
            </w:r>
          </w:p>
        </w:tc>
      </w:tr>
    </w:tbl>
    <w:p w14:paraId="7E9370D9" w14:textId="77777777" w:rsidR="0043400B" w:rsidRDefault="0043400B">
      <w:pPr>
        <w:spacing w:after="0"/>
      </w:pPr>
    </w:p>
    <w:p w14:paraId="795D3003" w14:textId="77777777" w:rsidR="0043400B" w:rsidRDefault="00000000">
      <w:r>
        <w:t>Prihodi iz nadležnog proračuna za financiranje rashoda za nabavu nefinancijske imovine račun br.6712 nabave opreme za konferencijski prostor te nabavu knjiga sukladno planiranim sredstvima u proračunu NP.</w:t>
      </w:r>
    </w:p>
    <w:p w14:paraId="0707D49C" w14:textId="77777777" w:rsidR="0043400B" w:rsidRDefault="0043400B"/>
    <w:p w14:paraId="52741F57" w14:textId="77777777" w:rsidR="0043400B"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3FCABB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E32F10"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914636"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3F77D0"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E41325"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BF4F34"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4E52CA" w14:textId="77777777" w:rsidR="0043400B" w:rsidRDefault="00000000">
            <w:pPr>
              <w:keepNext/>
              <w:keepLines/>
              <w:spacing w:after="0" w:line="240" w:lineRule="auto"/>
              <w:jc w:val="center"/>
            </w:pPr>
            <w:r>
              <w:rPr>
                <w:b/>
                <w:sz w:val="18"/>
              </w:rPr>
              <w:t>Indeks (%)</w:t>
            </w:r>
          </w:p>
        </w:tc>
      </w:tr>
      <w:tr w:rsidR="0043400B" w14:paraId="21B1CAA7" w14:textId="77777777">
        <w:tblPrEx>
          <w:tblCellMar>
            <w:top w:w="0" w:type="dxa"/>
            <w:bottom w:w="0" w:type="dxa"/>
          </w:tblCellMar>
        </w:tblPrEx>
        <w:trPr>
          <w:cantSplit/>
          <w:trHeight w:val="560"/>
        </w:trPr>
        <w:tc>
          <w:tcPr>
            <w:tcW w:w="700" w:type="dxa"/>
            <w:tcMar>
              <w:top w:w="0" w:type="dxa"/>
              <w:bottom w:w="0" w:type="dxa"/>
            </w:tcMar>
            <w:vAlign w:val="center"/>
          </w:tcPr>
          <w:p w14:paraId="5F7A30EA" w14:textId="77777777" w:rsidR="0043400B" w:rsidRDefault="00000000">
            <w:pPr>
              <w:keepNext/>
              <w:keepLines/>
              <w:spacing w:after="0" w:line="240" w:lineRule="auto"/>
            </w:pPr>
            <w:r>
              <w:rPr>
                <w:sz w:val="18"/>
              </w:rPr>
              <w:t>3</w:t>
            </w:r>
          </w:p>
        </w:tc>
        <w:tc>
          <w:tcPr>
            <w:tcW w:w="3180" w:type="dxa"/>
            <w:tcMar>
              <w:top w:w="0" w:type="dxa"/>
              <w:bottom w:w="0" w:type="dxa"/>
            </w:tcMar>
            <w:vAlign w:val="center"/>
          </w:tcPr>
          <w:p w14:paraId="6DB35CDE" w14:textId="77777777" w:rsidR="0043400B"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4FEA504" w14:textId="77777777" w:rsidR="0043400B" w:rsidRDefault="00000000">
            <w:pPr>
              <w:keepNext/>
              <w:keepLines/>
              <w:spacing w:after="0" w:line="240" w:lineRule="auto"/>
            </w:pPr>
            <w:r>
              <w:rPr>
                <w:sz w:val="18"/>
              </w:rPr>
              <w:t>3</w:t>
            </w:r>
          </w:p>
        </w:tc>
        <w:tc>
          <w:tcPr>
            <w:tcW w:w="1860" w:type="dxa"/>
            <w:tcMar>
              <w:top w:w="0" w:type="dxa"/>
              <w:bottom w:w="0" w:type="dxa"/>
            </w:tcMar>
            <w:vAlign w:val="center"/>
          </w:tcPr>
          <w:p w14:paraId="080D4161" w14:textId="77777777" w:rsidR="0043400B" w:rsidRDefault="00000000">
            <w:pPr>
              <w:keepNext/>
              <w:keepLines/>
              <w:spacing w:after="0" w:line="240" w:lineRule="auto"/>
              <w:jc w:val="right"/>
            </w:pPr>
            <w:r>
              <w:rPr>
                <w:sz w:val="18"/>
              </w:rPr>
              <w:t>55.790,04</w:t>
            </w:r>
          </w:p>
        </w:tc>
        <w:tc>
          <w:tcPr>
            <w:tcW w:w="1860" w:type="dxa"/>
            <w:tcMar>
              <w:top w:w="0" w:type="dxa"/>
              <w:bottom w:w="0" w:type="dxa"/>
            </w:tcMar>
            <w:vAlign w:val="center"/>
          </w:tcPr>
          <w:p w14:paraId="7F91DF2E" w14:textId="77777777" w:rsidR="0043400B" w:rsidRDefault="00000000">
            <w:pPr>
              <w:keepNext/>
              <w:keepLines/>
              <w:spacing w:after="0" w:line="240" w:lineRule="auto"/>
              <w:jc w:val="right"/>
            </w:pPr>
            <w:r>
              <w:rPr>
                <w:sz w:val="18"/>
              </w:rPr>
              <w:t>58.590,85</w:t>
            </w:r>
          </w:p>
        </w:tc>
        <w:tc>
          <w:tcPr>
            <w:tcW w:w="700" w:type="dxa"/>
            <w:tcMar>
              <w:top w:w="0" w:type="dxa"/>
              <w:bottom w:w="0" w:type="dxa"/>
            </w:tcMar>
            <w:vAlign w:val="center"/>
          </w:tcPr>
          <w:p w14:paraId="1A2BE9B7" w14:textId="77777777" w:rsidR="0043400B" w:rsidRDefault="00000000">
            <w:pPr>
              <w:keepNext/>
              <w:keepLines/>
              <w:spacing w:after="0" w:line="240" w:lineRule="auto"/>
              <w:jc w:val="right"/>
            </w:pPr>
            <w:r>
              <w:rPr>
                <w:sz w:val="18"/>
              </w:rPr>
              <w:t>105,0</w:t>
            </w:r>
          </w:p>
        </w:tc>
      </w:tr>
    </w:tbl>
    <w:p w14:paraId="3CB832D9" w14:textId="77777777" w:rsidR="0043400B" w:rsidRDefault="0043400B">
      <w:pPr>
        <w:spacing w:after="0"/>
      </w:pPr>
    </w:p>
    <w:p w14:paraId="018381EF" w14:textId="77777777" w:rsidR="0043400B" w:rsidRDefault="00000000">
      <w:r>
        <w:t>Račun plana 3- Rashodi poslovanja izvršeni su više u odnosu na prethodnu godinu  radi povećanja osnovice za plaće i knjiženja plaće iz prosinca 2024.g. u siječnju tako da je sada knjiženo 13 plaća te isto tako knjiženja naknada koje su se prethodnih godina knjižile u mjesecu srpnju , materijalni rashodi su u porastu radi povećanja cijena roba i usluga na tržištu, najveće odstupanje je radi nabave sitnog inventara i usluga tekućeg održavanja građevinskog objekta.</w:t>
      </w:r>
    </w:p>
    <w:p w14:paraId="2D1C4BCC" w14:textId="77777777" w:rsidR="0043400B" w:rsidRDefault="0043400B"/>
    <w:p w14:paraId="31949DC3" w14:textId="77777777" w:rsidR="0043400B"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01C603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752037"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619C10"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ACC4E1"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09AA45"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D5DB15"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426915" w14:textId="77777777" w:rsidR="0043400B" w:rsidRDefault="00000000">
            <w:pPr>
              <w:keepNext/>
              <w:keepLines/>
              <w:spacing w:after="0" w:line="240" w:lineRule="auto"/>
              <w:jc w:val="center"/>
            </w:pPr>
            <w:r>
              <w:rPr>
                <w:b/>
                <w:sz w:val="18"/>
              </w:rPr>
              <w:t>Indeks (%)</w:t>
            </w:r>
          </w:p>
        </w:tc>
      </w:tr>
      <w:tr w:rsidR="0043400B" w14:paraId="34A1F70F" w14:textId="77777777">
        <w:tblPrEx>
          <w:tblCellMar>
            <w:top w:w="0" w:type="dxa"/>
            <w:bottom w:w="0" w:type="dxa"/>
          </w:tblCellMar>
        </w:tblPrEx>
        <w:trPr>
          <w:cantSplit/>
          <w:trHeight w:val="560"/>
        </w:trPr>
        <w:tc>
          <w:tcPr>
            <w:tcW w:w="700" w:type="dxa"/>
            <w:tcMar>
              <w:top w:w="0" w:type="dxa"/>
              <w:bottom w:w="0" w:type="dxa"/>
            </w:tcMar>
            <w:vAlign w:val="center"/>
          </w:tcPr>
          <w:p w14:paraId="248C99A7" w14:textId="77777777" w:rsidR="0043400B" w:rsidRDefault="00000000">
            <w:pPr>
              <w:keepNext/>
              <w:keepLines/>
              <w:spacing w:after="0" w:line="240" w:lineRule="auto"/>
            </w:pPr>
            <w:r>
              <w:rPr>
                <w:sz w:val="18"/>
              </w:rPr>
              <w:t>311</w:t>
            </w:r>
          </w:p>
        </w:tc>
        <w:tc>
          <w:tcPr>
            <w:tcW w:w="3180" w:type="dxa"/>
            <w:tcMar>
              <w:top w:w="0" w:type="dxa"/>
              <w:bottom w:w="0" w:type="dxa"/>
            </w:tcMar>
            <w:vAlign w:val="center"/>
          </w:tcPr>
          <w:p w14:paraId="40EF6EC4" w14:textId="77777777" w:rsidR="0043400B"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3C79308B" w14:textId="77777777" w:rsidR="0043400B" w:rsidRDefault="00000000">
            <w:pPr>
              <w:keepNext/>
              <w:keepLines/>
              <w:spacing w:after="0" w:line="240" w:lineRule="auto"/>
            </w:pPr>
            <w:r>
              <w:rPr>
                <w:sz w:val="18"/>
              </w:rPr>
              <w:t>311</w:t>
            </w:r>
          </w:p>
        </w:tc>
        <w:tc>
          <w:tcPr>
            <w:tcW w:w="1860" w:type="dxa"/>
            <w:tcMar>
              <w:top w:w="0" w:type="dxa"/>
              <w:bottom w:w="0" w:type="dxa"/>
            </w:tcMar>
            <w:vAlign w:val="center"/>
          </w:tcPr>
          <w:p w14:paraId="10480816" w14:textId="77777777" w:rsidR="0043400B" w:rsidRDefault="00000000">
            <w:pPr>
              <w:keepNext/>
              <w:keepLines/>
              <w:spacing w:after="0" w:line="240" w:lineRule="auto"/>
              <w:jc w:val="right"/>
            </w:pPr>
            <w:r>
              <w:rPr>
                <w:sz w:val="18"/>
              </w:rPr>
              <w:t>21.191,72</w:t>
            </w:r>
          </w:p>
        </w:tc>
        <w:tc>
          <w:tcPr>
            <w:tcW w:w="1860" w:type="dxa"/>
            <w:tcMar>
              <w:top w:w="0" w:type="dxa"/>
              <w:bottom w:w="0" w:type="dxa"/>
            </w:tcMar>
            <w:vAlign w:val="center"/>
          </w:tcPr>
          <w:p w14:paraId="366AE153" w14:textId="77777777" w:rsidR="0043400B" w:rsidRDefault="00000000">
            <w:pPr>
              <w:keepNext/>
              <w:keepLines/>
              <w:spacing w:after="0" w:line="240" w:lineRule="auto"/>
              <w:jc w:val="right"/>
            </w:pPr>
            <w:r>
              <w:rPr>
                <w:sz w:val="18"/>
              </w:rPr>
              <w:t>31.466,87</w:t>
            </w:r>
          </w:p>
        </w:tc>
        <w:tc>
          <w:tcPr>
            <w:tcW w:w="700" w:type="dxa"/>
            <w:tcMar>
              <w:top w:w="0" w:type="dxa"/>
              <w:bottom w:w="0" w:type="dxa"/>
            </w:tcMar>
            <w:vAlign w:val="center"/>
          </w:tcPr>
          <w:p w14:paraId="3D5302DF" w14:textId="77777777" w:rsidR="0043400B" w:rsidRDefault="00000000">
            <w:pPr>
              <w:keepNext/>
              <w:keepLines/>
              <w:spacing w:after="0" w:line="240" w:lineRule="auto"/>
              <w:jc w:val="right"/>
            </w:pPr>
            <w:r>
              <w:rPr>
                <w:sz w:val="18"/>
              </w:rPr>
              <w:t>148,5</w:t>
            </w:r>
          </w:p>
        </w:tc>
      </w:tr>
    </w:tbl>
    <w:p w14:paraId="448FD051" w14:textId="77777777" w:rsidR="0043400B" w:rsidRDefault="0043400B">
      <w:pPr>
        <w:spacing w:after="0"/>
      </w:pPr>
    </w:p>
    <w:p w14:paraId="5C379368" w14:textId="77777777" w:rsidR="0043400B" w:rsidRDefault="00000000">
      <w:r>
        <w:t xml:space="preserve">Plaće za redovan rad više su realizirane radi povećanja osnovice  za obračun plaće od 1.1.2025.g. te radi knjiženja plaće iz prosinca u mjesecu siječnju te radi zapošljavanja pomoćnog knjižničara budući da ravnateljica odlazi na </w:t>
      </w:r>
      <w:proofErr w:type="spellStart"/>
      <w:r>
        <w:t>rodiljni</w:t>
      </w:r>
      <w:proofErr w:type="spellEnd"/>
      <w:r>
        <w:t xml:space="preserve"> dopust. ( od polovine mjeseca ožujka)</w:t>
      </w:r>
    </w:p>
    <w:p w14:paraId="5B1EF0C5" w14:textId="77777777" w:rsidR="0043400B" w:rsidRDefault="00000000">
      <w:r>
        <w:t xml:space="preserve">Promjena je isto tako kod knjiženja doprinosa za mirovinsko osiguranje jer se prethodne godine greškom knjižilo na konto 3131 i sada je to ispravljeno. Isto tako je promjena kod knjiženja u smislu da se plaća za mjesec ožujak knjižila sa 31.3.2025.g. a isplata je bila u mjesecu travnju , zapravo su se knjižile 4 plaće tako da se iznimno za 2025g..  knjiži 13 plaća.  Ostali rashodi su isplate za dnevni obrok i regres također vezano za odlazak ravnateljice na </w:t>
      </w:r>
      <w:proofErr w:type="spellStart"/>
      <w:r>
        <w:t>rodiljni</w:t>
      </w:r>
      <w:proofErr w:type="spellEnd"/>
      <w:r>
        <w:t xml:space="preserve"> dopust .Doprinosi na plaće - indeks izvršenja je u skladu sa obrazloženjem uz plaće.</w:t>
      </w:r>
    </w:p>
    <w:p w14:paraId="4D07964C" w14:textId="77777777" w:rsidR="0043400B" w:rsidRDefault="0043400B"/>
    <w:p w14:paraId="371DCE8E" w14:textId="77777777" w:rsidR="0043400B"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5D6B93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89FB79"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811B4A"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00A08D"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1C23AF"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91A313"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29FA13" w14:textId="77777777" w:rsidR="0043400B" w:rsidRDefault="00000000">
            <w:pPr>
              <w:keepNext/>
              <w:keepLines/>
              <w:spacing w:after="0" w:line="240" w:lineRule="auto"/>
              <w:jc w:val="center"/>
            </w:pPr>
            <w:r>
              <w:rPr>
                <w:b/>
                <w:sz w:val="18"/>
              </w:rPr>
              <w:t>Indeks (%)</w:t>
            </w:r>
          </w:p>
        </w:tc>
      </w:tr>
      <w:tr w:rsidR="0043400B" w14:paraId="015CA005" w14:textId="77777777">
        <w:tblPrEx>
          <w:tblCellMar>
            <w:top w:w="0" w:type="dxa"/>
            <w:bottom w:w="0" w:type="dxa"/>
          </w:tblCellMar>
        </w:tblPrEx>
        <w:trPr>
          <w:cantSplit/>
          <w:trHeight w:val="560"/>
        </w:trPr>
        <w:tc>
          <w:tcPr>
            <w:tcW w:w="700" w:type="dxa"/>
            <w:tcMar>
              <w:top w:w="0" w:type="dxa"/>
              <w:bottom w:w="0" w:type="dxa"/>
            </w:tcMar>
            <w:vAlign w:val="center"/>
          </w:tcPr>
          <w:p w14:paraId="03096518" w14:textId="77777777" w:rsidR="0043400B" w:rsidRDefault="00000000">
            <w:pPr>
              <w:keepNext/>
              <w:keepLines/>
              <w:spacing w:after="0" w:line="240" w:lineRule="auto"/>
            </w:pPr>
            <w:r>
              <w:rPr>
                <w:sz w:val="18"/>
              </w:rPr>
              <w:t>312</w:t>
            </w:r>
          </w:p>
        </w:tc>
        <w:tc>
          <w:tcPr>
            <w:tcW w:w="3180" w:type="dxa"/>
            <w:tcMar>
              <w:top w:w="0" w:type="dxa"/>
              <w:bottom w:w="0" w:type="dxa"/>
            </w:tcMar>
            <w:vAlign w:val="center"/>
          </w:tcPr>
          <w:p w14:paraId="1A77F268" w14:textId="77777777" w:rsidR="0043400B"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069B4B77" w14:textId="77777777" w:rsidR="0043400B" w:rsidRDefault="00000000">
            <w:pPr>
              <w:keepNext/>
              <w:keepLines/>
              <w:spacing w:after="0" w:line="240" w:lineRule="auto"/>
            </w:pPr>
            <w:r>
              <w:rPr>
                <w:sz w:val="18"/>
              </w:rPr>
              <w:t>312</w:t>
            </w:r>
          </w:p>
        </w:tc>
        <w:tc>
          <w:tcPr>
            <w:tcW w:w="1860" w:type="dxa"/>
            <w:tcMar>
              <w:top w:w="0" w:type="dxa"/>
              <w:bottom w:w="0" w:type="dxa"/>
            </w:tcMar>
            <w:vAlign w:val="center"/>
          </w:tcPr>
          <w:p w14:paraId="0EAAC9E2" w14:textId="77777777" w:rsidR="0043400B" w:rsidRDefault="00000000">
            <w:pPr>
              <w:keepNext/>
              <w:keepLines/>
              <w:spacing w:after="0" w:line="240" w:lineRule="auto"/>
              <w:jc w:val="right"/>
            </w:pPr>
            <w:r>
              <w:rPr>
                <w:sz w:val="18"/>
              </w:rPr>
              <w:t>2.195,01</w:t>
            </w:r>
          </w:p>
        </w:tc>
        <w:tc>
          <w:tcPr>
            <w:tcW w:w="1860" w:type="dxa"/>
            <w:tcMar>
              <w:top w:w="0" w:type="dxa"/>
              <w:bottom w:w="0" w:type="dxa"/>
            </w:tcMar>
            <w:vAlign w:val="center"/>
          </w:tcPr>
          <w:p w14:paraId="490F98AD" w14:textId="77777777" w:rsidR="0043400B" w:rsidRDefault="00000000">
            <w:pPr>
              <w:keepNext/>
              <w:keepLines/>
              <w:spacing w:after="0" w:line="240" w:lineRule="auto"/>
              <w:jc w:val="right"/>
            </w:pPr>
            <w:r>
              <w:rPr>
                <w:sz w:val="18"/>
              </w:rPr>
              <w:t>3.220,00</w:t>
            </w:r>
          </w:p>
        </w:tc>
        <w:tc>
          <w:tcPr>
            <w:tcW w:w="700" w:type="dxa"/>
            <w:tcMar>
              <w:top w:w="0" w:type="dxa"/>
              <w:bottom w:w="0" w:type="dxa"/>
            </w:tcMar>
            <w:vAlign w:val="center"/>
          </w:tcPr>
          <w:p w14:paraId="7660F9D0" w14:textId="77777777" w:rsidR="0043400B" w:rsidRDefault="00000000">
            <w:pPr>
              <w:keepNext/>
              <w:keepLines/>
              <w:spacing w:after="0" w:line="240" w:lineRule="auto"/>
              <w:jc w:val="right"/>
            </w:pPr>
            <w:r>
              <w:rPr>
                <w:sz w:val="18"/>
              </w:rPr>
              <w:t>146,7</w:t>
            </w:r>
          </w:p>
        </w:tc>
      </w:tr>
    </w:tbl>
    <w:p w14:paraId="5973923E" w14:textId="77777777" w:rsidR="0043400B" w:rsidRDefault="0043400B">
      <w:pPr>
        <w:spacing w:after="0"/>
      </w:pPr>
    </w:p>
    <w:p w14:paraId="41BE37BB" w14:textId="77777777" w:rsidR="0043400B" w:rsidRDefault="00000000">
      <w:r>
        <w:t xml:space="preserve">Ostali rashodi za zaposlene su ; Potpora za novorođenče, </w:t>
      </w:r>
      <w:proofErr w:type="spellStart"/>
      <w:r>
        <w:t>regres,božićnica</w:t>
      </w:r>
      <w:proofErr w:type="spellEnd"/>
      <w:r>
        <w:t xml:space="preserve"> i dar djeci zaposlenih </w:t>
      </w:r>
    </w:p>
    <w:p w14:paraId="396CD2C2" w14:textId="77777777" w:rsidR="0043400B" w:rsidRDefault="0043400B"/>
    <w:p w14:paraId="1EDE1D71" w14:textId="77777777" w:rsidR="0043400B"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3E195E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1C3E09"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84ABC6"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BE8FDD"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A1EF52"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66F50E"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D3F2E0" w14:textId="77777777" w:rsidR="0043400B" w:rsidRDefault="00000000">
            <w:pPr>
              <w:keepNext/>
              <w:keepLines/>
              <w:spacing w:after="0" w:line="240" w:lineRule="auto"/>
              <w:jc w:val="center"/>
            </w:pPr>
            <w:r>
              <w:rPr>
                <w:b/>
                <w:sz w:val="18"/>
              </w:rPr>
              <w:t>Indeks (%)</w:t>
            </w:r>
          </w:p>
        </w:tc>
      </w:tr>
      <w:tr w:rsidR="0043400B" w14:paraId="61B9420B" w14:textId="77777777">
        <w:tblPrEx>
          <w:tblCellMar>
            <w:top w:w="0" w:type="dxa"/>
            <w:bottom w:w="0" w:type="dxa"/>
          </w:tblCellMar>
        </w:tblPrEx>
        <w:trPr>
          <w:cantSplit/>
          <w:trHeight w:val="560"/>
        </w:trPr>
        <w:tc>
          <w:tcPr>
            <w:tcW w:w="700" w:type="dxa"/>
            <w:tcMar>
              <w:top w:w="0" w:type="dxa"/>
              <w:bottom w:w="0" w:type="dxa"/>
            </w:tcMar>
            <w:vAlign w:val="center"/>
          </w:tcPr>
          <w:p w14:paraId="6E4E407C" w14:textId="77777777" w:rsidR="0043400B" w:rsidRDefault="00000000">
            <w:pPr>
              <w:keepNext/>
              <w:keepLines/>
              <w:spacing w:after="0" w:line="240" w:lineRule="auto"/>
            </w:pPr>
            <w:r>
              <w:rPr>
                <w:sz w:val="18"/>
              </w:rPr>
              <w:t>3131</w:t>
            </w:r>
          </w:p>
        </w:tc>
        <w:tc>
          <w:tcPr>
            <w:tcW w:w="3180" w:type="dxa"/>
            <w:tcMar>
              <w:top w:w="0" w:type="dxa"/>
              <w:bottom w:w="0" w:type="dxa"/>
            </w:tcMar>
            <w:vAlign w:val="center"/>
          </w:tcPr>
          <w:p w14:paraId="4B0CC464" w14:textId="77777777" w:rsidR="0043400B" w:rsidRDefault="00000000">
            <w:pPr>
              <w:keepNext/>
              <w:keepLines/>
              <w:spacing w:after="0" w:line="240" w:lineRule="auto"/>
            </w:pPr>
            <w:r>
              <w:rPr>
                <w:sz w:val="18"/>
              </w:rPr>
              <w:t>Doprinosi za mirovinsko osiguranje za staž s povećanim trajanjem</w:t>
            </w:r>
          </w:p>
        </w:tc>
        <w:tc>
          <w:tcPr>
            <w:tcW w:w="700" w:type="dxa"/>
            <w:tcMar>
              <w:top w:w="0" w:type="dxa"/>
              <w:bottom w:w="0" w:type="dxa"/>
            </w:tcMar>
            <w:vAlign w:val="center"/>
          </w:tcPr>
          <w:p w14:paraId="43D7072C" w14:textId="77777777" w:rsidR="0043400B" w:rsidRDefault="00000000">
            <w:pPr>
              <w:keepNext/>
              <w:keepLines/>
              <w:spacing w:after="0" w:line="240" w:lineRule="auto"/>
            </w:pPr>
            <w:r>
              <w:rPr>
                <w:sz w:val="18"/>
              </w:rPr>
              <w:t>3131</w:t>
            </w:r>
          </w:p>
        </w:tc>
        <w:tc>
          <w:tcPr>
            <w:tcW w:w="1860" w:type="dxa"/>
            <w:tcMar>
              <w:top w:w="0" w:type="dxa"/>
              <w:bottom w:w="0" w:type="dxa"/>
            </w:tcMar>
            <w:vAlign w:val="center"/>
          </w:tcPr>
          <w:p w14:paraId="2B3AEA78" w14:textId="77777777" w:rsidR="0043400B" w:rsidRDefault="00000000">
            <w:pPr>
              <w:keepNext/>
              <w:keepLines/>
              <w:spacing w:after="0" w:line="240" w:lineRule="auto"/>
              <w:jc w:val="right"/>
            </w:pPr>
            <w:r>
              <w:rPr>
                <w:sz w:val="18"/>
              </w:rPr>
              <w:t>5.371,65</w:t>
            </w:r>
          </w:p>
        </w:tc>
        <w:tc>
          <w:tcPr>
            <w:tcW w:w="1860" w:type="dxa"/>
            <w:tcMar>
              <w:top w:w="0" w:type="dxa"/>
              <w:bottom w:w="0" w:type="dxa"/>
            </w:tcMar>
            <w:vAlign w:val="center"/>
          </w:tcPr>
          <w:p w14:paraId="0E41BC03" w14:textId="77777777" w:rsidR="0043400B" w:rsidRDefault="00000000">
            <w:pPr>
              <w:keepNext/>
              <w:keepLines/>
              <w:spacing w:after="0" w:line="240" w:lineRule="auto"/>
              <w:jc w:val="right"/>
            </w:pPr>
            <w:r>
              <w:rPr>
                <w:sz w:val="18"/>
              </w:rPr>
              <w:t>0,00</w:t>
            </w:r>
          </w:p>
        </w:tc>
        <w:tc>
          <w:tcPr>
            <w:tcW w:w="700" w:type="dxa"/>
            <w:tcMar>
              <w:top w:w="0" w:type="dxa"/>
              <w:bottom w:w="0" w:type="dxa"/>
            </w:tcMar>
            <w:vAlign w:val="center"/>
          </w:tcPr>
          <w:p w14:paraId="0AD67E55" w14:textId="77777777" w:rsidR="0043400B" w:rsidRDefault="00000000">
            <w:pPr>
              <w:keepNext/>
              <w:keepLines/>
              <w:spacing w:after="0" w:line="240" w:lineRule="auto"/>
              <w:jc w:val="right"/>
            </w:pPr>
            <w:r>
              <w:rPr>
                <w:sz w:val="18"/>
              </w:rPr>
              <w:t>0</w:t>
            </w:r>
          </w:p>
        </w:tc>
      </w:tr>
    </w:tbl>
    <w:p w14:paraId="1B277E8F" w14:textId="77777777" w:rsidR="0043400B" w:rsidRDefault="0043400B">
      <w:pPr>
        <w:spacing w:after="0"/>
      </w:pPr>
    </w:p>
    <w:p w14:paraId="552EF044" w14:textId="77777777" w:rsidR="0043400B" w:rsidRDefault="00000000">
      <w:r>
        <w:t>Promjena je kod knjiženja doprinosa za mirovinsko osiguranje jer se prethodne godine greškom knjižilo na konto 3131 i sada je to ispravljeno. </w:t>
      </w:r>
    </w:p>
    <w:p w14:paraId="04C44303" w14:textId="77777777" w:rsidR="0043400B" w:rsidRDefault="0043400B"/>
    <w:p w14:paraId="784B898D" w14:textId="77777777" w:rsidR="0043400B"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069273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E8E0A9"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FF5F60"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FAD79F"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2E980C"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8BE16C"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53B6A3" w14:textId="77777777" w:rsidR="0043400B" w:rsidRDefault="00000000">
            <w:pPr>
              <w:keepNext/>
              <w:keepLines/>
              <w:spacing w:after="0" w:line="240" w:lineRule="auto"/>
              <w:jc w:val="center"/>
            </w:pPr>
            <w:r>
              <w:rPr>
                <w:b/>
                <w:sz w:val="18"/>
              </w:rPr>
              <w:t>Indeks (%)</w:t>
            </w:r>
          </w:p>
        </w:tc>
      </w:tr>
      <w:tr w:rsidR="0043400B" w14:paraId="40B47405" w14:textId="77777777">
        <w:tblPrEx>
          <w:tblCellMar>
            <w:top w:w="0" w:type="dxa"/>
            <w:bottom w:w="0" w:type="dxa"/>
          </w:tblCellMar>
        </w:tblPrEx>
        <w:trPr>
          <w:cantSplit/>
          <w:trHeight w:val="560"/>
        </w:trPr>
        <w:tc>
          <w:tcPr>
            <w:tcW w:w="700" w:type="dxa"/>
            <w:tcMar>
              <w:top w:w="0" w:type="dxa"/>
              <w:bottom w:w="0" w:type="dxa"/>
            </w:tcMar>
            <w:vAlign w:val="center"/>
          </w:tcPr>
          <w:p w14:paraId="3B5AE351" w14:textId="77777777" w:rsidR="0043400B" w:rsidRDefault="00000000">
            <w:pPr>
              <w:keepNext/>
              <w:keepLines/>
              <w:spacing w:after="0" w:line="240" w:lineRule="auto"/>
            </w:pPr>
            <w:r>
              <w:rPr>
                <w:sz w:val="18"/>
              </w:rPr>
              <w:t>32</w:t>
            </w:r>
          </w:p>
        </w:tc>
        <w:tc>
          <w:tcPr>
            <w:tcW w:w="3180" w:type="dxa"/>
            <w:tcMar>
              <w:top w:w="0" w:type="dxa"/>
              <w:bottom w:w="0" w:type="dxa"/>
            </w:tcMar>
            <w:vAlign w:val="center"/>
          </w:tcPr>
          <w:p w14:paraId="28CF6834" w14:textId="77777777" w:rsidR="0043400B"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37DD5B32" w14:textId="77777777" w:rsidR="0043400B" w:rsidRDefault="00000000">
            <w:pPr>
              <w:keepNext/>
              <w:keepLines/>
              <w:spacing w:after="0" w:line="240" w:lineRule="auto"/>
            </w:pPr>
            <w:r>
              <w:rPr>
                <w:sz w:val="18"/>
              </w:rPr>
              <w:t>32</w:t>
            </w:r>
          </w:p>
        </w:tc>
        <w:tc>
          <w:tcPr>
            <w:tcW w:w="1860" w:type="dxa"/>
            <w:tcMar>
              <w:top w:w="0" w:type="dxa"/>
              <w:bottom w:w="0" w:type="dxa"/>
            </w:tcMar>
            <w:vAlign w:val="center"/>
          </w:tcPr>
          <w:p w14:paraId="420071DE" w14:textId="77777777" w:rsidR="0043400B" w:rsidRDefault="00000000">
            <w:pPr>
              <w:keepNext/>
              <w:keepLines/>
              <w:spacing w:after="0" w:line="240" w:lineRule="auto"/>
              <w:jc w:val="right"/>
            </w:pPr>
            <w:r>
              <w:rPr>
                <w:sz w:val="18"/>
              </w:rPr>
              <w:t>22.268,16</w:t>
            </w:r>
          </w:p>
        </w:tc>
        <w:tc>
          <w:tcPr>
            <w:tcW w:w="1860" w:type="dxa"/>
            <w:tcMar>
              <w:top w:w="0" w:type="dxa"/>
              <w:bottom w:w="0" w:type="dxa"/>
            </w:tcMar>
            <w:vAlign w:val="center"/>
          </w:tcPr>
          <w:p w14:paraId="261D3049" w14:textId="77777777" w:rsidR="0043400B" w:rsidRDefault="00000000">
            <w:pPr>
              <w:keepNext/>
              <w:keepLines/>
              <w:spacing w:after="0" w:line="240" w:lineRule="auto"/>
              <w:jc w:val="right"/>
            </w:pPr>
            <w:r>
              <w:rPr>
                <w:sz w:val="18"/>
              </w:rPr>
              <w:t>19.073,50</w:t>
            </w:r>
          </w:p>
        </w:tc>
        <w:tc>
          <w:tcPr>
            <w:tcW w:w="700" w:type="dxa"/>
            <w:tcMar>
              <w:top w:w="0" w:type="dxa"/>
              <w:bottom w:w="0" w:type="dxa"/>
            </w:tcMar>
            <w:vAlign w:val="center"/>
          </w:tcPr>
          <w:p w14:paraId="48D223CE" w14:textId="77777777" w:rsidR="0043400B" w:rsidRDefault="00000000">
            <w:pPr>
              <w:keepNext/>
              <w:keepLines/>
              <w:spacing w:after="0" w:line="240" w:lineRule="auto"/>
              <w:jc w:val="right"/>
            </w:pPr>
            <w:r>
              <w:rPr>
                <w:sz w:val="18"/>
              </w:rPr>
              <w:t>85,7</w:t>
            </w:r>
          </w:p>
        </w:tc>
      </w:tr>
    </w:tbl>
    <w:p w14:paraId="65D3CA04" w14:textId="77777777" w:rsidR="0043400B" w:rsidRDefault="0043400B">
      <w:pPr>
        <w:spacing w:after="0"/>
      </w:pPr>
    </w:p>
    <w:p w14:paraId="08F9F25E" w14:textId="77777777" w:rsidR="0043400B" w:rsidRDefault="00000000">
      <w:r>
        <w:t>Računi skupine 32-  Materijalni rashodi , ukupno se bilježi manji indeks izvršenja a dok na trećoj razini računa pokazatelj rasta se bilježi kod rashoda energije radi povećanja cijena na tržištu te nešto veće nabave sitnog inventara u odnosu na prethodnu godinu.  </w:t>
      </w:r>
    </w:p>
    <w:p w14:paraId="77D3BDBD" w14:textId="77777777" w:rsidR="0043400B" w:rsidRDefault="0043400B"/>
    <w:p w14:paraId="1122E157" w14:textId="77777777" w:rsidR="0043400B"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04F3D9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2B8CD1"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C5E8F8"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875108"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3C6FB5"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963764"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D7B97E" w14:textId="77777777" w:rsidR="0043400B" w:rsidRDefault="00000000">
            <w:pPr>
              <w:keepNext/>
              <w:keepLines/>
              <w:spacing w:after="0" w:line="240" w:lineRule="auto"/>
              <w:jc w:val="center"/>
            </w:pPr>
            <w:r>
              <w:rPr>
                <w:b/>
                <w:sz w:val="18"/>
              </w:rPr>
              <w:t>Indeks (%)</w:t>
            </w:r>
          </w:p>
        </w:tc>
      </w:tr>
      <w:tr w:rsidR="0043400B" w14:paraId="3688F05B" w14:textId="77777777">
        <w:tblPrEx>
          <w:tblCellMar>
            <w:top w:w="0" w:type="dxa"/>
            <w:bottom w:w="0" w:type="dxa"/>
          </w:tblCellMar>
        </w:tblPrEx>
        <w:trPr>
          <w:cantSplit/>
          <w:trHeight w:val="560"/>
        </w:trPr>
        <w:tc>
          <w:tcPr>
            <w:tcW w:w="700" w:type="dxa"/>
            <w:tcMar>
              <w:top w:w="0" w:type="dxa"/>
              <w:bottom w:w="0" w:type="dxa"/>
            </w:tcMar>
            <w:vAlign w:val="center"/>
          </w:tcPr>
          <w:p w14:paraId="19DED130" w14:textId="77777777" w:rsidR="0043400B" w:rsidRDefault="00000000">
            <w:pPr>
              <w:keepNext/>
              <w:keepLines/>
              <w:spacing w:after="0" w:line="240" w:lineRule="auto"/>
            </w:pPr>
            <w:r>
              <w:rPr>
                <w:sz w:val="18"/>
              </w:rPr>
              <w:t>3221</w:t>
            </w:r>
          </w:p>
        </w:tc>
        <w:tc>
          <w:tcPr>
            <w:tcW w:w="3180" w:type="dxa"/>
            <w:tcMar>
              <w:top w:w="0" w:type="dxa"/>
              <w:bottom w:w="0" w:type="dxa"/>
            </w:tcMar>
            <w:vAlign w:val="center"/>
          </w:tcPr>
          <w:p w14:paraId="140BE95E" w14:textId="77777777" w:rsidR="0043400B"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28048734" w14:textId="77777777" w:rsidR="0043400B" w:rsidRDefault="00000000">
            <w:pPr>
              <w:keepNext/>
              <w:keepLines/>
              <w:spacing w:after="0" w:line="240" w:lineRule="auto"/>
            </w:pPr>
            <w:r>
              <w:rPr>
                <w:sz w:val="18"/>
              </w:rPr>
              <w:t>3221</w:t>
            </w:r>
          </w:p>
        </w:tc>
        <w:tc>
          <w:tcPr>
            <w:tcW w:w="1860" w:type="dxa"/>
            <w:tcMar>
              <w:top w:w="0" w:type="dxa"/>
              <w:bottom w:w="0" w:type="dxa"/>
            </w:tcMar>
            <w:vAlign w:val="center"/>
          </w:tcPr>
          <w:p w14:paraId="50C39761" w14:textId="77777777" w:rsidR="0043400B" w:rsidRDefault="00000000">
            <w:pPr>
              <w:keepNext/>
              <w:keepLines/>
              <w:spacing w:after="0" w:line="240" w:lineRule="auto"/>
              <w:jc w:val="right"/>
            </w:pPr>
            <w:r>
              <w:rPr>
                <w:sz w:val="18"/>
              </w:rPr>
              <w:t>349,10</w:t>
            </w:r>
          </w:p>
        </w:tc>
        <w:tc>
          <w:tcPr>
            <w:tcW w:w="1860" w:type="dxa"/>
            <w:tcMar>
              <w:top w:w="0" w:type="dxa"/>
              <w:bottom w:w="0" w:type="dxa"/>
            </w:tcMar>
            <w:vAlign w:val="center"/>
          </w:tcPr>
          <w:p w14:paraId="7A9334A2" w14:textId="77777777" w:rsidR="0043400B" w:rsidRDefault="00000000">
            <w:pPr>
              <w:keepNext/>
              <w:keepLines/>
              <w:spacing w:after="0" w:line="240" w:lineRule="auto"/>
              <w:jc w:val="right"/>
            </w:pPr>
            <w:r>
              <w:rPr>
                <w:sz w:val="18"/>
              </w:rPr>
              <w:t>624,62</w:t>
            </w:r>
          </w:p>
        </w:tc>
        <w:tc>
          <w:tcPr>
            <w:tcW w:w="700" w:type="dxa"/>
            <w:tcMar>
              <w:top w:w="0" w:type="dxa"/>
              <w:bottom w:w="0" w:type="dxa"/>
            </w:tcMar>
            <w:vAlign w:val="center"/>
          </w:tcPr>
          <w:p w14:paraId="7C57273B" w14:textId="77777777" w:rsidR="0043400B" w:rsidRDefault="00000000">
            <w:pPr>
              <w:keepNext/>
              <w:keepLines/>
              <w:spacing w:after="0" w:line="240" w:lineRule="auto"/>
              <w:jc w:val="right"/>
            </w:pPr>
            <w:r>
              <w:rPr>
                <w:sz w:val="18"/>
              </w:rPr>
              <w:t>178,9</w:t>
            </w:r>
          </w:p>
        </w:tc>
      </w:tr>
    </w:tbl>
    <w:p w14:paraId="3E799884" w14:textId="77777777" w:rsidR="0043400B" w:rsidRDefault="0043400B">
      <w:pPr>
        <w:spacing w:after="0"/>
      </w:pPr>
    </w:p>
    <w:p w14:paraId="59DCE867" w14:textId="77777777" w:rsidR="0043400B" w:rsidRDefault="00000000">
      <w:r>
        <w:t xml:space="preserve">Račun 322- Rashodi za materijal i energiju indeks je veći  ; troškovi energije su više  realizirani nego prethodne godine jer su troškovi plina povećani  , od sitnog inventara </w:t>
      </w:r>
      <w:r>
        <w:lastRenderedPageBreak/>
        <w:t>nabavljen je tel. uređaj na pretplatu  , troškovi su veći radi objave natječaja za pomoćnog knjižničara. </w:t>
      </w:r>
    </w:p>
    <w:p w14:paraId="0ACC9934" w14:textId="77777777" w:rsidR="0043400B" w:rsidRDefault="0043400B"/>
    <w:p w14:paraId="661E14F0" w14:textId="77777777" w:rsidR="0043400B"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67AAF5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162C1B"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A6D763"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A1A0B1"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9E9B31"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B4680F"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090FAC" w14:textId="77777777" w:rsidR="0043400B" w:rsidRDefault="00000000">
            <w:pPr>
              <w:keepNext/>
              <w:keepLines/>
              <w:spacing w:after="0" w:line="240" w:lineRule="auto"/>
              <w:jc w:val="center"/>
            </w:pPr>
            <w:r>
              <w:rPr>
                <w:b/>
                <w:sz w:val="18"/>
              </w:rPr>
              <w:t>Indeks (%)</w:t>
            </w:r>
          </w:p>
        </w:tc>
      </w:tr>
      <w:tr w:rsidR="0043400B" w14:paraId="7E2FE2A9" w14:textId="77777777">
        <w:tblPrEx>
          <w:tblCellMar>
            <w:top w:w="0" w:type="dxa"/>
            <w:bottom w:w="0" w:type="dxa"/>
          </w:tblCellMar>
        </w:tblPrEx>
        <w:trPr>
          <w:cantSplit/>
          <w:trHeight w:val="560"/>
        </w:trPr>
        <w:tc>
          <w:tcPr>
            <w:tcW w:w="700" w:type="dxa"/>
            <w:tcMar>
              <w:top w:w="0" w:type="dxa"/>
              <w:bottom w:w="0" w:type="dxa"/>
            </w:tcMar>
            <w:vAlign w:val="center"/>
          </w:tcPr>
          <w:p w14:paraId="249EDC0A" w14:textId="77777777" w:rsidR="0043400B" w:rsidRDefault="00000000">
            <w:pPr>
              <w:keepNext/>
              <w:keepLines/>
              <w:spacing w:after="0" w:line="240" w:lineRule="auto"/>
            </w:pPr>
            <w:r>
              <w:rPr>
                <w:sz w:val="18"/>
              </w:rPr>
              <w:t>3223</w:t>
            </w:r>
          </w:p>
        </w:tc>
        <w:tc>
          <w:tcPr>
            <w:tcW w:w="3180" w:type="dxa"/>
            <w:tcMar>
              <w:top w:w="0" w:type="dxa"/>
              <w:bottom w:w="0" w:type="dxa"/>
            </w:tcMar>
            <w:vAlign w:val="center"/>
          </w:tcPr>
          <w:p w14:paraId="7D6C3356" w14:textId="77777777" w:rsidR="0043400B" w:rsidRDefault="00000000">
            <w:pPr>
              <w:keepNext/>
              <w:keepLines/>
              <w:spacing w:after="0" w:line="240" w:lineRule="auto"/>
            </w:pPr>
            <w:r>
              <w:rPr>
                <w:sz w:val="18"/>
              </w:rPr>
              <w:t>Energija</w:t>
            </w:r>
          </w:p>
        </w:tc>
        <w:tc>
          <w:tcPr>
            <w:tcW w:w="700" w:type="dxa"/>
            <w:tcMar>
              <w:top w:w="0" w:type="dxa"/>
              <w:bottom w:w="0" w:type="dxa"/>
            </w:tcMar>
            <w:vAlign w:val="center"/>
          </w:tcPr>
          <w:p w14:paraId="3AFA63ED" w14:textId="77777777" w:rsidR="0043400B" w:rsidRDefault="00000000">
            <w:pPr>
              <w:keepNext/>
              <w:keepLines/>
              <w:spacing w:after="0" w:line="240" w:lineRule="auto"/>
            </w:pPr>
            <w:r>
              <w:rPr>
                <w:sz w:val="18"/>
              </w:rPr>
              <w:t>3223</w:t>
            </w:r>
          </w:p>
        </w:tc>
        <w:tc>
          <w:tcPr>
            <w:tcW w:w="1860" w:type="dxa"/>
            <w:tcMar>
              <w:top w:w="0" w:type="dxa"/>
              <w:bottom w:w="0" w:type="dxa"/>
            </w:tcMar>
            <w:vAlign w:val="center"/>
          </w:tcPr>
          <w:p w14:paraId="32D85457" w14:textId="77777777" w:rsidR="0043400B" w:rsidRDefault="00000000">
            <w:pPr>
              <w:keepNext/>
              <w:keepLines/>
              <w:spacing w:after="0" w:line="240" w:lineRule="auto"/>
              <w:jc w:val="right"/>
            </w:pPr>
            <w:r>
              <w:rPr>
                <w:sz w:val="18"/>
              </w:rPr>
              <w:t>4.451,29</w:t>
            </w:r>
          </w:p>
        </w:tc>
        <w:tc>
          <w:tcPr>
            <w:tcW w:w="1860" w:type="dxa"/>
            <w:tcMar>
              <w:top w:w="0" w:type="dxa"/>
              <w:bottom w:w="0" w:type="dxa"/>
            </w:tcMar>
            <w:vAlign w:val="center"/>
          </w:tcPr>
          <w:p w14:paraId="30284DE5" w14:textId="77777777" w:rsidR="0043400B" w:rsidRDefault="00000000">
            <w:pPr>
              <w:keepNext/>
              <w:keepLines/>
              <w:spacing w:after="0" w:line="240" w:lineRule="auto"/>
              <w:jc w:val="right"/>
            </w:pPr>
            <w:r>
              <w:rPr>
                <w:sz w:val="18"/>
              </w:rPr>
              <w:t>5.325,60</w:t>
            </w:r>
          </w:p>
        </w:tc>
        <w:tc>
          <w:tcPr>
            <w:tcW w:w="700" w:type="dxa"/>
            <w:tcMar>
              <w:top w:w="0" w:type="dxa"/>
              <w:bottom w:w="0" w:type="dxa"/>
            </w:tcMar>
            <w:vAlign w:val="center"/>
          </w:tcPr>
          <w:p w14:paraId="15411E30" w14:textId="77777777" w:rsidR="0043400B" w:rsidRDefault="00000000">
            <w:pPr>
              <w:keepNext/>
              <w:keepLines/>
              <w:spacing w:after="0" w:line="240" w:lineRule="auto"/>
              <w:jc w:val="right"/>
            </w:pPr>
            <w:r>
              <w:rPr>
                <w:sz w:val="18"/>
              </w:rPr>
              <w:t>119,6</w:t>
            </w:r>
          </w:p>
        </w:tc>
      </w:tr>
    </w:tbl>
    <w:p w14:paraId="0E177BB0" w14:textId="77777777" w:rsidR="0043400B" w:rsidRDefault="0043400B">
      <w:pPr>
        <w:spacing w:after="0"/>
      </w:pPr>
    </w:p>
    <w:p w14:paraId="35F0C004" w14:textId="77777777" w:rsidR="0043400B" w:rsidRDefault="00000000">
      <w:r>
        <w:t>Rashodi za materijal i energiju  su u porastu radi povećanja cijena roba i usluga na tržištu</w:t>
      </w:r>
    </w:p>
    <w:p w14:paraId="70033251" w14:textId="77777777" w:rsidR="0043400B" w:rsidRDefault="0043400B"/>
    <w:p w14:paraId="45AE3799" w14:textId="77777777" w:rsidR="0043400B"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3BC563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97D142"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43A14D"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8FD607"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126FDC"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5A0FEE"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220277" w14:textId="77777777" w:rsidR="0043400B" w:rsidRDefault="00000000">
            <w:pPr>
              <w:keepNext/>
              <w:keepLines/>
              <w:spacing w:after="0" w:line="240" w:lineRule="auto"/>
              <w:jc w:val="center"/>
            </w:pPr>
            <w:r>
              <w:rPr>
                <w:b/>
                <w:sz w:val="18"/>
              </w:rPr>
              <w:t>Indeks (%)</w:t>
            </w:r>
          </w:p>
        </w:tc>
      </w:tr>
      <w:tr w:rsidR="0043400B" w14:paraId="4EE703BA" w14:textId="77777777">
        <w:tblPrEx>
          <w:tblCellMar>
            <w:top w:w="0" w:type="dxa"/>
            <w:bottom w:w="0" w:type="dxa"/>
          </w:tblCellMar>
        </w:tblPrEx>
        <w:trPr>
          <w:cantSplit/>
          <w:trHeight w:val="560"/>
        </w:trPr>
        <w:tc>
          <w:tcPr>
            <w:tcW w:w="700" w:type="dxa"/>
            <w:tcMar>
              <w:top w:w="0" w:type="dxa"/>
              <w:bottom w:w="0" w:type="dxa"/>
            </w:tcMar>
            <w:vAlign w:val="center"/>
          </w:tcPr>
          <w:p w14:paraId="1E82330B" w14:textId="77777777" w:rsidR="0043400B" w:rsidRDefault="00000000">
            <w:pPr>
              <w:keepNext/>
              <w:keepLines/>
              <w:spacing w:after="0" w:line="240" w:lineRule="auto"/>
            </w:pPr>
            <w:r>
              <w:rPr>
                <w:sz w:val="18"/>
              </w:rPr>
              <w:t>3225</w:t>
            </w:r>
          </w:p>
        </w:tc>
        <w:tc>
          <w:tcPr>
            <w:tcW w:w="3180" w:type="dxa"/>
            <w:tcMar>
              <w:top w:w="0" w:type="dxa"/>
              <w:bottom w:w="0" w:type="dxa"/>
            </w:tcMar>
            <w:vAlign w:val="center"/>
          </w:tcPr>
          <w:p w14:paraId="03ECE652" w14:textId="77777777" w:rsidR="0043400B" w:rsidRDefault="0000000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324C898B" w14:textId="77777777" w:rsidR="0043400B" w:rsidRDefault="00000000">
            <w:pPr>
              <w:keepNext/>
              <w:keepLines/>
              <w:spacing w:after="0" w:line="240" w:lineRule="auto"/>
            </w:pPr>
            <w:r>
              <w:rPr>
                <w:sz w:val="18"/>
              </w:rPr>
              <w:t>3225</w:t>
            </w:r>
          </w:p>
        </w:tc>
        <w:tc>
          <w:tcPr>
            <w:tcW w:w="1860" w:type="dxa"/>
            <w:tcMar>
              <w:top w:w="0" w:type="dxa"/>
              <w:bottom w:w="0" w:type="dxa"/>
            </w:tcMar>
            <w:vAlign w:val="center"/>
          </w:tcPr>
          <w:p w14:paraId="3D45645A" w14:textId="77777777" w:rsidR="0043400B" w:rsidRDefault="00000000">
            <w:pPr>
              <w:keepNext/>
              <w:keepLines/>
              <w:spacing w:after="0" w:line="240" w:lineRule="auto"/>
              <w:jc w:val="right"/>
            </w:pPr>
            <w:r>
              <w:rPr>
                <w:sz w:val="18"/>
              </w:rPr>
              <w:t>17,98</w:t>
            </w:r>
          </w:p>
        </w:tc>
        <w:tc>
          <w:tcPr>
            <w:tcW w:w="1860" w:type="dxa"/>
            <w:tcMar>
              <w:top w:w="0" w:type="dxa"/>
              <w:bottom w:w="0" w:type="dxa"/>
            </w:tcMar>
            <w:vAlign w:val="center"/>
          </w:tcPr>
          <w:p w14:paraId="2A2795C8" w14:textId="77777777" w:rsidR="0043400B" w:rsidRDefault="00000000">
            <w:pPr>
              <w:keepNext/>
              <w:keepLines/>
              <w:spacing w:after="0" w:line="240" w:lineRule="auto"/>
              <w:jc w:val="right"/>
            </w:pPr>
            <w:r>
              <w:rPr>
                <w:sz w:val="18"/>
              </w:rPr>
              <w:t>400,00</w:t>
            </w:r>
          </w:p>
        </w:tc>
        <w:tc>
          <w:tcPr>
            <w:tcW w:w="700" w:type="dxa"/>
            <w:tcMar>
              <w:top w:w="0" w:type="dxa"/>
              <w:bottom w:w="0" w:type="dxa"/>
            </w:tcMar>
            <w:vAlign w:val="center"/>
          </w:tcPr>
          <w:p w14:paraId="4BA9DF44" w14:textId="77777777" w:rsidR="0043400B" w:rsidRDefault="00000000">
            <w:pPr>
              <w:keepNext/>
              <w:keepLines/>
              <w:spacing w:after="0" w:line="240" w:lineRule="auto"/>
              <w:jc w:val="right"/>
            </w:pPr>
            <w:r>
              <w:rPr>
                <w:sz w:val="18"/>
              </w:rPr>
              <w:t>2224,7</w:t>
            </w:r>
          </w:p>
        </w:tc>
      </w:tr>
    </w:tbl>
    <w:p w14:paraId="0F86D01D" w14:textId="77777777" w:rsidR="0043400B" w:rsidRDefault="0043400B">
      <w:pPr>
        <w:spacing w:after="0"/>
      </w:pPr>
    </w:p>
    <w:p w14:paraId="41EA9E55" w14:textId="77777777" w:rsidR="0043400B" w:rsidRDefault="00000000">
      <w:r>
        <w:t>Od sitnog inventara nabavljen je tel. uređaj na pretplatu </w:t>
      </w:r>
    </w:p>
    <w:p w14:paraId="60C90CC0" w14:textId="77777777" w:rsidR="0043400B" w:rsidRDefault="0043400B"/>
    <w:p w14:paraId="1BFB14D8" w14:textId="77777777" w:rsidR="0043400B"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66995D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5B55F3"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FCF695"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8CB1E2"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90F968"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BCB724"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CAA7EF" w14:textId="77777777" w:rsidR="0043400B" w:rsidRDefault="00000000">
            <w:pPr>
              <w:keepNext/>
              <w:keepLines/>
              <w:spacing w:after="0" w:line="240" w:lineRule="auto"/>
              <w:jc w:val="center"/>
            </w:pPr>
            <w:r>
              <w:rPr>
                <w:b/>
                <w:sz w:val="18"/>
              </w:rPr>
              <w:t>Indeks (%)</w:t>
            </w:r>
          </w:p>
        </w:tc>
      </w:tr>
      <w:tr w:rsidR="0043400B" w14:paraId="1D9643D6" w14:textId="77777777">
        <w:tblPrEx>
          <w:tblCellMar>
            <w:top w:w="0" w:type="dxa"/>
            <w:bottom w:w="0" w:type="dxa"/>
          </w:tblCellMar>
        </w:tblPrEx>
        <w:trPr>
          <w:cantSplit/>
          <w:trHeight w:val="560"/>
        </w:trPr>
        <w:tc>
          <w:tcPr>
            <w:tcW w:w="700" w:type="dxa"/>
            <w:tcMar>
              <w:top w:w="0" w:type="dxa"/>
              <w:bottom w:w="0" w:type="dxa"/>
            </w:tcMar>
            <w:vAlign w:val="center"/>
          </w:tcPr>
          <w:p w14:paraId="2494BFA1" w14:textId="77777777" w:rsidR="0043400B" w:rsidRDefault="00000000">
            <w:pPr>
              <w:keepNext/>
              <w:keepLines/>
              <w:spacing w:after="0" w:line="240" w:lineRule="auto"/>
            </w:pPr>
            <w:r>
              <w:rPr>
                <w:sz w:val="18"/>
              </w:rPr>
              <w:t>323</w:t>
            </w:r>
          </w:p>
        </w:tc>
        <w:tc>
          <w:tcPr>
            <w:tcW w:w="3180" w:type="dxa"/>
            <w:tcMar>
              <w:top w:w="0" w:type="dxa"/>
              <w:bottom w:w="0" w:type="dxa"/>
            </w:tcMar>
            <w:vAlign w:val="center"/>
          </w:tcPr>
          <w:p w14:paraId="79884486" w14:textId="77777777" w:rsidR="0043400B"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7BB9BBFE" w14:textId="77777777" w:rsidR="0043400B" w:rsidRDefault="00000000">
            <w:pPr>
              <w:keepNext/>
              <w:keepLines/>
              <w:spacing w:after="0" w:line="240" w:lineRule="auto"/>
            </w:pPr>
            <w:r>
              <w:rPr>
                <w:sz w:val="18"/>
              </w:rPr>
              <w:t>323</w:t>
            </w:r>
          </w:p>
        </w:tc>
        <w:tc>
          <w:tcPr>
            <w:tcW w:w="1860" w:type="dxa"/>
            <w:tcMar>
              <w:top w:w="0" w:type="dxa"/>
              <w:bottom w:w="0" w:type="dxa"/>
            </w:tcMar>
            <w:vAlign w:val="center"/>
          </w:tcPr>
          <w:p w14:paraId="1F6DEE18" w14:textId="77777777" w:rsidR="0043400B" w:rsidRDefault="00000000">
            <w:pPr>
              <w:keepNext/>
              <w:keepLines/>
              <w:spacing w:after="0" w:line="240" w:lineRule="auto"/>
              <w:jc w:val="right"/>
            </w:pPr>
            <w:r>
              <w:rPr>
                <w:sz w:val="18"/>
              </w:rPr>
              <w:t>17.091,54</w:t>
            </w:r>
          </w:p>
        </w:tc>
        <w:tc>
          <w:tcPr>
            <w:tcW w:w="1860" w:type="dxa"/>
            <w:tcMar>
              <w:top w:w="0" w:type="dxa"/>
              <w:bottom w:w="0" w:type="dxa"/>
            </w:tcMar>
            <w:vAlign w:val="center"/>
          </w:tcPr>
          <w:p w14:paraId="5753DB12" w14:textId="77777777" w:rsidR="0043400B" w:rsidRDefault="00000000">
            <w:pPr>
              <w:keepNext/>
              <w:keepLines/>
              <w:spacing w:after="0" w:line="240" w:lineRule="auto"/>
              <w:jc w:val="right"/>
            </w:pPr>
            <w:r>
              <w:rPr>
                <w:sz w:val="18"/>
              </w:rPr>
              <w:t>12.452,94</w:t>
            </w:r>
          </w:p>
        </w:tc>
        <w:tc>
          <w:tcPr>
            <w:tcW w:w="700" w:type="dxa"/>
            <w:tcMar>
              <w:top w:w="0" w:type="dxa"/>
              <w:bottom w:w="0" w:type="dxa"/>
            </w:tcMar>
            <w:vAlign w:val="center"/>
          </w:tcPr>
          <w:p w14:paraId="47081EE6" w14:textId="77777777" w:rsidR="0043400B" w:rsidRDefault="00000000">
            <w:pPr>
              <w:keepNext/>
              <w:keepLines/>
              <w:spacing w:after="0" w:line="240" w:lineRule="auto"/>
              <w:jc w:val="right"/>
            </w:pPr>
            <w:r>
              <w:rPr>
                <w:sz w:val="18"/>
              </w:rPr>
              <w:t>72,9</w:t>
            </w:r>
          </w:p>
        </w:tc>
      </w:tr>
    </w:tbl>
    <w:p w14:paraId="28B519E6" w14:textId="77777777" w:rsidR="0043400B" w:rsidRDefault="0043400B">
      <w:pPr>
        <w:spacing w:after="0"/>
      </w:pPr>
    </w:p>
    <w:p w14:paraId="46AF4606" w14:textId="77777777" w:rsidR="0043400B" w:rsidRDefault="00000000">
      <w:r>
        <w:t xml:space="preserve">Račun 323-Rashodi za usluge  ,indeks izvršenja manji je nego prethodne godine jer se najznačajnije odstupanje dogodilo kod usluga tekućeg i </w:t>
      </w:r>
      <w:proofErr w:type="spellStart"/>
      <w:r>
        <w:t>inv</w:t>
      </w:r>
      <w:proofErr w:type="spellEnd"/>
      <w:r>
        <w:t xml:space="preserve">. održavanja prošle godine pranje fasade na zgradi knjižnice dok se u tekućoj godini radi o usluzi pranja krova /crijepa od mahovine na  zgradi Knjižnice i povećanih cijena usluga vezanih za komunalne usluge (opskrba vodom i odvodnja) Negativno odstupanje radi povećanih cijena usluga vezanih za komunalne usluge (opskrba vodom i odvodnja) , usluge više ne obavlja komunalno poduzeće kojima je Općinsko vijeće Općine Lipovljani  osnivač već je prethodne godine uslugu preuzelo komunalno poduzeće Moslavina d.o.o. Kutina te su cijene veće nego što je to tada bilo. Isto tako su povećane računalne usluge radi intervencije za aplikaciju </w:t>
      </w:r>
      <w:proofErr w:type="spellStart"/>
      <w:r>
        <w:t>eUredsko</w:t>
      </w:r>
      <w:proofErr w:type="spellEnd"/>
      <w:r>
        <w:t xml:space="preserve"> koje često ima probleme.</w:t>
      </w:r>
    </w:p>
    <w:p w14:paraId="4D1E3A3B" w14:textId="77777777" w:rsidR="0043400B" w:rsidRDefault="0043400B"/>
    <w:p w14:paraId="1BACD269" w14:textId="77777777" w:rsidR="0043400B"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02BD3E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10CBFA"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6E1AC0"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0504ED"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9AD563"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F8EFE8"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189949" w14:textId="77777777" w:rsidR="0043400B" w:rsidRDefault="00000000">
            <w:pPr>
              <w:keepNext/>
              <w:keepLines/>
              <w:spacing w:after="0" w:line="240" w:lineRule="auto"/>
              <w:jc w:val="center"/>
            </w:pPr>
            <w:r>
              <w:rPr>
                <w:b/>
                <w:sz w:val="18"/>
              </w:rPr>
              <w:t>Indeks (%)</w:t>
            </w:r>
          </w:p>
        </w:tc>
      </w:tr>
      <w:tr w:rsidR="0043400B" w14:paraId="0D628378" w14:textId="77777777">
        <w:tblPrEx>
          <w:tblCellMar>
            <w:top w:w="0" w:type="dxa"/>
            <w:bottom w:w="0" w:type="dxa"/>
          </w:tblCellMar>
        </w:tblPrEx>
        <w:trPr>
          <w:cantSplit/>
          <w:trHeight w:val="560"/>
        </w:trPr>
        <w:tc>
          <w:tcPr>
            <w:tcW w:w="700" w:type="dxa"/>
            <w:tcMar>
              <w:top w:w="0" w:type="dxa"/>
              <w:bottom w:w="0" w:type="dxa"/>
            </w:tcMar>
            <w:vAlign w:val="center"/>
          </w:tcPr>
          <w:p w14:paraId="311AD67B" w14:textId="77777777" w:rsidR="0043400B" w:rsidRDefault="00000000">
            <w:pPr>
              <w:keepNext/>
              <w:keepLines/>
              <w:spacing w:after="0" w:line="240" w:lineRule="auto"/>
            </w:pPr>
            <w:r>
              <w:rPr>
                <w:sz w:val="18"/>
              </w:rPr>
              <w:t>3234</w:t>
            </w:r>
          </w:p>
        </w:tc>
        <w:tc>
          <w:tcPr>
            <w:tcW w:w="3180" w:type="dxa"/>
            <w:tcMar>
              <w:top w:w="0" w:type="dxa"/>
              <w:bottom w:w="0" w:type="dxa"/>
            </w:tcMar>
            <w:vAlign w:val="center"/>
          </w:tcPr>
          <w:p w14:paraId="6DA2FFC7" w14:textId="77777777" w:rsidR="0043400B" w:rsidRDefault="00000000">
            <w:pPr>
              <w:keepNext/>
              <w:keepLines/>
              <w:spacing w:after="0" w:line="240" w:lineRule="auto"/>
            </w:pPr>
            <w:r>
              <w:rPr>
                <w:sz w:val="18"/>
              </w:rPr>
              <w:t>Komunalne usluge</w:t>
            </w:r>
          </w:p>
        </w:tc>
        <w:tc>
          <w:tcPr>
            <w:tcW w:w="700" w:type="dxa"/>
            <w:tcMar>
              <w:top w:w="0" w:type="dxa"/>
              <w:bottom w:w="0" w:type="dxa"/>
            </w:tcMar>
            <w:vAlign w:val="center"/>
          </w:tcPr>
          <w:p w14:paraId="213B76FF" w14:textId="77777777" w:rsidR="0043400B" w:rsidRDefault="00000000">
            <w:pPr>
              <w:keepNext/>
              <w:keepLines/>
              <w:spacing w:after="0" w:line="240" w:lineRule="auto"/>
            </w:pPr>
            <w:r>
              <w:rPr>
                <w:sz w:val="18"/>
              </w:rPr>
              <w:t>3234</w:t>
            </w:r>
          </w:p>
        </w:tc>
        <w:tc>
          <w:tcPr>
            <w:tcW w:w="1860" w:type="dxa"/>
            <w:tcMar>
              <w:top w:w="0" w:type="dxa"/>
              <w:bottom w:w="0" w:type="dxa"/>
            </w:tcMar>
            <w:vAlign w:val="center"/>
          </w:tcPr>
          <w:p w14:paraId="0150D84D" w14:textId="77777777" w:rsidR="0043400B" w:rsidRDefault="00000000">
            <w:pPr>
              <w:keepNext/>
              <w:keepLines/>
              <w:spacing w:after="0" w:line="240" w:lineRule="auto"/>
              <w:jc w:val="right"/>
            </w:pPr>
            <w:r>
              <w:rPr>
                <w:sz w:val="18"/>
              </w:rPr>
              <w:t>249,42</w:t>
            </w:r>
          </w:p>
        </w:tc>
        <w:tc>
          <w:tcPr>
            <w:tcW w:w="1860" w:type="dxa"/>
            <w:tcMar>
              <w:top w:w="0" w:type="dxa"/>
              <w:bottom w:w="0" w:type="dxa"/>
            </w:tcMar>
            <w:vAlign w:val="center"/>
          </w:tcPr>
          <w:p w14:paraId="1586B647" w14:textId="77777777" w:rsidR="0043400B" w:rsidRDefault="00000000">
            <w:pPr>
              <w:keepNext/>
              <w:keepLines/>
              <w:spacing w:after="0" w:line="240" w:lineRule="auto"/>
              <w:jc w:val="right"/>
            </w:pPr>
            <w:r>
              <w:rPr>
                <w:sz w:val="18"/>
              </w:rPr>
              <w:t>288,48</w:t>
            </w:r>
          </w:p>
        </w:tc>
        <w:tc>
          <w:tcPr>
            <w:tcW w:w="700" w:type="dxa"/>
            <w:tcMar>
              <w:top w:w="0" w:type="dxa"/>
              <w:bottom w:w="0" w:type="dxa"/>
            </w:tcMar>
            <w:vAlign w:val="center"/>
          </w:tcPr>
          <w:p w14:paraId="6C0B6D07" w14:textId="77777777" w:rsidR="0043400B" w:rsidRDefault="00000000">
            <w:pPr>
              <w:keepNext/>
              <w:keepLines/>
              <w:spacing w:after="0" w:line="240" w:lineRule="auto"/>
              <w:jc w:val="right"/>
            </w:pPr>
            <w:r>
              <w:rPr>
                <w:sz w:val="18"/>
              </w:rPr>
              <w:t>115,7</w:t>
            </w:r>
          </w:p>
        </w:tc>
      </w:tr>
    </w:tbl>
    <w:p w14:paraId="175A4D44" w14:textId="77777777" w:rsidR="0043400B" w:rsidRDefault="0043400B">
      <w:pPr>
        <w:spacing w:after="0"/>
      </w:pPr>
    </w:p>
    <w:p w14:paraId="7E52E5CB" w14:textId="77777777" w:rsidR="0043400B" w:rsidRDefault="00000000">
      <w:r>
        <w:t>Negativno odstupanje radi povećanih cijena usluga vezanih za komunalne usluge (opskrba vodom i odvodnja) , usluge više ne obavlja komunalno poduzeće kojima je Općinsko vijeće Općine Lipovljani  osnivač već je prethodne godine uslugu preuzelo komunalno poduzeće Moslavina d.o.o. Kutina koje ima drugačiji / skuplji cjenik .</w:t>
      </w:r>
    </w:p>
    <w:p w14:paraId="4D469083" w14:textId="77777777" w:rsidR="0043400B" w:rsidRDefault="0043400B"/>
    <w:p w14:paraId="2722BD7E" w14:textId="77777777" w:rsidR="0043400B"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1ECF03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CC64AF"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3F8C95"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00DF1C"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7C0ABE"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B4DF22"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E0F976" w14:textId="77777777" w:rsidR="0043400B" w:rsidRDefault="00000000">
            <w:pPr>
              <w:keepNext/>
              <w:keepLines/>
              <w:spacing w:after="0" w:line="240" w:lineRule="auto"/>
              <w:jc w:val="center"/>
            </w:pPr>
            <w:r>
              <w:rPr>
                <w:b/>
                <w:sz w:val="18"/>
              </w:rPr>
              <w:t>Indeks (%)</w:t>
            </w:r>
          </w:p>
        </w:tc>
      </w:tr>
      <w:tr w:rsidR="0043400B" w14:paraId="35243A76" w14:textId="77777777">
        <w:tblPrEx>
          <w:tblCellMar>
            <w:top w:w="0" w:type="dxa"/>
            <w:bottom w:w="0" w:type="dxa"/>
          </w:tblCellMar>
        </w:tblPrEx>
        <w:trPr>
          <w:cantSplit/>
          <w:trHeight w:val="560"/>
        </w:trPr>
        <w:tc>
          <w:tcPr>
            <w:tcW w:w="700" w:type="dxa"/>
            <w:tcMar>
              <w:top w:w="0" w:type="dxa"/>
              <w:bottom w:w="0" w:type="dxa"/>
            </w:tcMar>
            <w:vAlign w:val="center"/>
          </w:tcPr>
          <w:p w14:paraId="06B6D11E" w14:textId="77777777" w:rsidR="0043400B" w:rsidRDefault="00000000">
            <w:pPr>
              <w:keepNext/>
              <w:keepLines/>
              <w:spacing w:after="0" w:line="240" w:lineRule="auto"/>
            </w:pPr>
            <w:r>
              <w:rPr>
                <w:sz w:val="18"/>
              </w:rPr>
              <w:t>3238</w:t>
            </w:r>
          </w:p>
        </w:tc>
        <w:tc>
          <w:tcPr>
            <w:tcW w:w="3180" w:type="dxa"/>
            <w:tcMar>
              <w:top w:w="0" w:type="dxa"/>
              <w:bottom w:w="0" w:type="dxa"/>
            </w:tcMar>
            <w:vAlign w:val="center"/>
          </w:tcPr>
          <w:p w14:paraId="2E81291E" w14:textId="77777777" w:rsidR="0043400B" w:rsidRDefault="00000000">
            <w:pPr>
              <w:keepNext/>
              <w:keepLines/>
              <w:spacing w:after="0" w:line="240" w:lineRule="auto"/>
            </w:pPr>
            <w:r>
              <w:rPr>
                <w:sz w:val="18"/>
              </w:rPr>
              <w:t>Računalne usluge</w:t>
            </w:r>
          </w:p>
        </w:tc>
        <w:tc>
          <w:tcPr>
            <w:tcW w:w="700" w:type="dxa"/>
            <w:tcMar>
              <w:top w:w="0" w:type="dxa"/>
              <w:bottom w:w="0" w:type="dxa"/>
            </w:tcMar>
            <w:vAlign w:val="center"/>
          </w:tcPr>
          <w:p w14:paraId="2C1326BC" w14:textId="77777777" w:rsidR="0043400B" w:rsidRDefault="00000000">
            <w:pPr>
              <w:keepNext/>
              <w:keepLines/>
              <w:spacing w:after="0" w:line="240" w:lineRule="auto"/>
            </w:pPr>
            <w:r>
              <w:rPr>
                <w:sz w:val="18"/>
              </w:rPr>
              <w:t>3238</w:t>
            </w:r>
          </w:p>
        </w:tc>
        <w:tc>
          <w:tcPr>
            <w:tcW w:w="1860" w:type="dxa"/>
            <w:tcMar>
              <w:top w:w="0" w:type="dxa"/>
              <w:bottom w:w="0" w:type="dxa"/>
            </w:tcMar>
            <w:vAlign w:val="center"/>
          </w:tcPr>
          <w:p w14:paraId="75C1D508" w14:textId="77777777" w:rsidR="0043400B" w:rsidRDefault="00000000">
            <w:pPr>
              <w:keepNext/>
              <w:keepLines/>
              <w:spacing w:after="0" w:line="240" w:lineRule="auto"/>
              <w:jc w:val="right"/>
            </w:pPr>
            <w:r>
              <w:rPr>
                <w:sz w:val="18"/>
              </w:rPr>
              <w:t>1.346,02</w:t>
            </w:r>
          </w:p>
        </w:tc>
        <w:tc>
          <w:tcPr>
            <w:tcW w:w="1860" w:type="dxa"/>
            <w:tcMar>
              <w:top w:w="0" w:type="dxa"/>
              <w:bottom w:w="0" w:type="dxa"/>
            </w:tcMar>
            <w:vAlign w:val="center"/>
          </w:tcPr>
          <w:p w14:paraId="281692D6" w14:textId="77777777" w:rsidR="0043400B" w:rsidRDefault="00000000">
            <w:pPr>
              <w:keepNext/>
              <w:keepLines/>
              <w:spacing w:after="0" w:line="240" w:lineRule="auto"/>
              <w:jc w:val="right"/>
            </w:pPr>
            <w:r>
              <w:rPr>
                <w:sz w:val="18"/>
              </w:rPr>
              <w:t>1.423,65</w:t>
            </w:r>
          </w:p>
        </w:tc>
        <w:tc>
          <w:tcPr>
            <w:tcW w:w="700" w:type="dxa"/>
            <w:tcMar>
              <w:top w:w="0" w:type="dxa"/>
              <w:bottom w:w="0" w:type="dxa"/>
            </w:tcMar>
            <w:vAlign w:val="center"/>
          </w:tcPr>
          <w:p w14:paraId="050BEA32" w14:textId="77777777" w:rsidR="0043400B" w:rsidRDefault="00000000">
            <w:pPr>
              <w:keepNext/>
              <w:keepLines/>
              <w:spacing w:after="0" w:line="240" w:lineRule="auto"/>
              <w:jc w:val="right"/>
            </w:pPr>
            <w:r>
              <w:rPr>
                <w:sz w:val="18"/>
              </w:rPr>
              <w:t>105,8</w:t>
            </w:r>
          </w:p>
        </w:tc>
      </w:tr>
    </w:tbl>
    <w:p w14:paraId="49E3807B" w14:textId="77777777" w:rsidR="0043400B" w:rsidRDefault="0043400B">
      <w:pPr>
        <w:spacing w:after="0"/>
      </w:pPr>
    </w:p>
    <w:p w14:paraId="37C4D0B1" w14:textId="77777777" w:rsidR="0043400B" w:rsidRDefault="00000000">
      <w:r>
        <w:t xml:space="preserve">Povećane su računalne usluge radi intervencije za aplikaciju </w:t>
      </w:r>
      <w:proofErr w:type="spellStart"/>
      <w:r>
        <w:t>eUredsko</w:t>
      </w:r>
      <w:proofErr w:type="spellEnd"/>
      <w:r>
        <w:t xml:space="preserve"> koje često ima probleme.</w:t>
      </w:r>
    </w:p>
    <w:p w14:paraId="1486E042" w14:textId="77777777" w:rsidR="0043400B" w:rsidRDefault="0043400B"/>
    <w:p w14:paraId="1556022C" w14:textId="77777777" w:rsidR="0043400B"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5D1BDD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9DFC52"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E5A152"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6A7DDD"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6B4E2A"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A29B04"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21C8A9" w14:textId="77777777" w:rsidR="0043400B" w:rsidRDefault="00000000">
            <w:pPr>
              <w:keepNext/>
              <w:keepLines/>
              <w:spacing w:after="0" w:line="240" w:lineRule="auto"/>
              <w:jc w:val="center"/>
            </w:pPr>
            <w:r>
              <w:rPr>
                <w:b/>
                <w:sz w:val="18"/>
              </w:rPr>
              <w:t>Indeks (%)</w:t>
            </w:r>
          </w:p>
        </w:tc>
      </w:tr>
      <w:tr w:rsidR="0043400B" w14:paraId="3F66F473" w14:textId="77777777">
        <w:tblPrEx>
          <w:tblCellMar>
            <w:top w:w="0" w:type="dxa"/>
            <w:bottom w:w="0" w:type="dxa"/>
          </w:tblCellMar>
        </w:tblPrEx>
        <w:trPr>
          <w:cantSplit/>
          <w:trHeight w:val="560"/>
        </w:trPr>
        <w:tc>
          <w:tcPr>
            <w:tcW w:w="700" w:type="dxa"/>
            <w:tcMar>
              <w:top w:w="0" w:type="dxa"/>
              <w:bottom w:w="0" w:type="dxa"/>
            </w:tcMar>
            <w:vAlign w:val="center"/>
          </w:tcPr>
          <w:p w14:paraId="111DA178" w14:textId="77777777" w:rsidR="0043400B" w:rsidRDefault="00000000">
            <w:pPr>
              <w:keepNext/>
              <w:keepLines/>
              <w:spacing w:after="0" w:line="240" w:lineRule="auto"/>
            </w:pPr>
            <w:r>
              <w:rPr>
                <w:sz w:val="18"/>
              </w:rPr>
              <w:t>3239</w:t>
            </w:r>
          </w:p>
        </w:tc>
        <w:tc>
          <w:tcPr>
            <w:tcW w:w="3180" w:type="dxa"/>
            <w:tcMar>
              <w:top w:w="0" w:type="dxa"/>
              <w:bottom w:w="0" w:type="dxa"/>
            </w:tcMar>
            <w:vAlign w:val="center"/>
          </w:tcPr>
          <w:p w14:paraId="38C8404D" w14:textId="77777777" w:rsidR="0043400B" w:rsidRDefault="00000000">
            <w:pPr>
              <w:keepNext/>
              <w:keepLines/>
              <w:spacing w:after="0" w:line="240" w:lineRule="auto"/>
            </w:pPr>
            <w:r>
              <w:rPr>
                <w:sz w:val="18"/>
              </w:rPr>
              <w:t>Ostale usluge</w:t>
            </w:r>
          </w:p>
        </w:tc>
        <w:tc>
          <w:tcPr>
            <w:tcW w:w="700" w:type="dxa"/>
            <w:tcMar>
              <w:top w:w="0" w:type="dxa"/>
              <w:bottom w:w="0" w:type="dxa"/>
            </w:tcMar>
            <w:vAlign w:val="center"/>
          </w:tcPr>
          <w:p w14:paraId="75579D4A" w14:textId="77777777" w:rsidR="0043400B" w:rsidRDefault="00000000">
            <w:pPr>
              <w:keepNext/>
              <w:keepLines/>
              <w:spacing w:after="0" w:line="240" w:lineRule="auto"/>
            </w:pPr>
            <w:r>
              <w:rPr>
                <w:sz w:val="18"/>
              </w:rPr>
              <w:t>3239</w:t>
            </w:r>
          </w:p>
        </w:tc>
        <w:tc>
          <w:tcPr>
            <w:tcW w:w="1860" w:type="dxa"/>
            <w:tcMar>
              <w:top w:w="0" w:type="dxa"/>
              <w:bottom w:w="0" w:type="dxa"/>
            </w:tcMar>
            <w:vAlign w:val="center"/>
          </w:tcPr>
          <w:p w14:paraId="3D3A1F7C" w14:textId="77777777" w:rsidR="0043400B" w:rsidRDefault="00000000">
            <w:pPr>
              <w:keepNext/>
              <w:keepLines/>
              <w:spacing w:after="0" w:line="240" w:lineRule="auto"/>
              <w:jc w:val="right"/>
            </w:pPr>
            <w:r>
              <w:rPr>
                <w:sz w:val="18"/>
              </w:rPr>
              <w:t>3.179,07</w:t>
            </w:r>
          </w:p>
        </w:tc>
        <w:tc>
          <w:tcPr>
            <w:tcW w:w="1860" w:type="dxa"/>
            <w:tcMar>
              <w:top w:w="0" w:type="dxa"/>
              <w:bottom w:w="0" w:type="dxa"/>
            </w:tcMar>
            <w:vAlign w:val="center"/>
          </w:tcPr>
          <w:p w14:paraId="79D6BEC5" w14:textId="77777777" w:rsidR="0043400B" w:rsidRDefault="00000000">
            <w:pPr>
              <w:keepNext/>
              <w:keepLines/>
              <w:spacing w:after="0" w:line="240" w:lineRule="auto"/>
              <w:jc w:val="right"/>
            </w:pPr>
            <w:r>
              <w:rPr>
                <w:sz w:val="18"/>
              </w:rPr>
              <w:t>2.762,60</w:t>
            </w:r>
          </w:p>
        </w:tc>
        <w:tc>
          <w:tcPr>
            <w:tcW w:w="700" w:type="dxa"/>
            <w:tcMar>
              <w:top w:w="0" w:type="dxa"/>
              <w:bottom w:w="0" w:type="dxa"/>
            </w:tcMar>
            <w:vAlign w:val="center"/>
          </w:tcPr>
          <w:p w14:paraId="3E618CE5" w14:textId="77777777" w:rsidR="0043400B" w:rsidRDefault="00000000">
            <w:pPr>
              <w:keepNext/>
              <w:keepLines/>
              <w:spacing w:after="0" w:line="240" w:lineRule="auto"/>
              <w:jc w:val="right"/>
            </w:pPr>
            <w:r>
              <w:rPr>
                <w:sz w:val="18"/>
              </w:rPr>
              <w:t>86,9</w:t>
            </w:r>
          </w:p>
        </w:tc>
      </w:tr>
    </w:tbl>
    <w:p w14:paraId="6BBCAFA6" w14:textId="77777777" w:rsidR="0043400B" w:rsidRDefault="0043400B">
      <w:pPr>
        <w:spacing w:after="0"/>
      </w:pPr>
    </w:p>
    <w:p w14:paraId="40AB6545" w14:textId="77777777" w:rsidR="0043400B" w:rsidRDefault="00000000">
      <w:r>
        <w:t xml:space="preserve">Ostale usluge su;   Usluge čuvanja imovine i osoba, vatrodojava ;godišnje održavanje sustava vatrodojave i mjesečni paušal Javnoj postrojbi Novska za istu svrhu,  poslovi zaštite na radu sukladno zakonskim odredbama za istu je sklopljen ugovor početkom godine sa većom cijenom nego je prethodne godine što je evidentno u realizaciji, te korištenje </w:t>
      </w:r>
      <w:proofErr w:type="spellStart"/>
      <w:r>
        <w:t>eservisa</w:t>
      </w:r>
      <w:proofErr w:type="spellEnd"/>
      <w:r>
        <w:t xml:space="preserve"> /</w:t>
      </w:r>
      <w:proofErr w:type="spellStart"/>
      <w:r>
        <w:t>eračun</w:t>
      </w:r>
      <w:proofErr w:type="spellEnd"/>
      <w:r>
        <w:t xml:space="preserve"> putem FINA-e. Prethodne godine se obavljao servis cjelokupnog sustava instalacija i sustava hlađenja i grijanja pa je radi toga ta stavka iz prethodne godine veća no što je u 2025.g. </w:t>
      </w:r>
    </w:p>
    <w:p w14:paraId="0A58EC8D" w14:textId="77777777" w:rsidR="0043400B" w:rsidRDefault="0043400B"/>
    <w:p w14:paraId="10778098" w14:textId="77777777" w:rsidR="0043400B"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13BC0E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8CF081"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F361EC"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008B80"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F49580"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182DD5"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A33884" w14:textId="77777777" w:rsidR="0043400B" w:rsidRDefault="00000000">
            <w:pPr>
              <w:keepNext/>
              <w:keepLines/>
              <w:spacing w:after="0" w:line="240" w:lineRule="auto"/>
              <w:jc w:val="center"/>
            </w:pPr>
            <w:r>
              <w:rPr>
                <w:b/>
                <w:sz w:val="18"/>
              </w:rPr>
              <w:t>Indeks (%)</w:t>
            </w:r>
          </w:p>
        </w:tc>
      </w:tr>
      <w:tr w:rsidR="0043400B" w14:paraId="65F718AE" w14:textId="77777777">
        <w:tblPrEx>
          <w:tblCellMar>
            <w:top w:w="0" w:type="dxa"/>
            <w:bottom w:w="0" w:type="dxa"/>
          </w:tblCellMar>
        </w:tblPrEx>
        <w:trPr>
          <w:cantSplit/>
          <w:trHeight w:val="560"/>
        </w:trPr>
        <w:tc>
          <w:tcPr>
            <w:tcW w:w="700" w:type="dxa"/>
            <w:tcMar>
              <w:top w:w="0" w:type="dxa"/>
              <w:bottom w:w="0" w:type="dxa"/>
            </w:tcMar>
            <w:vAlign w:val="center"/>
          </w:tcPr>
          <w:p w14:paraId="3089CE77" w14:textId="77777777" w:rsidR="0043400B" w:rsidRDefault="00000000">
            <w:pPr>
              <w:keepNext/>
              <w:keepLines/>
              <w:spacing w:after="0" w:line="240" w:lineRule="auto"/>
            </w:pPr>
            <w:r>
              <w:rPr>
                <w:sz w:val="18"/>
              </w:rPr>
              <w:t>329</w:t>
            </w:r>
          </w:p>
        </w:tc>
        <w:tc>
          <w:tcPr>
            <w:tcW w:w="3180" w:type="dxa"/>
            <w:tcMar>
              <w:top w:w="0" w:type="dxa"/>
              <w:bottom w:w="0" w:type="dxa"/>
            </w:tcMar>
            <w:vAlign w:val="center"/>
          </w:tcPr>
          <w:p w14:paraId="31C289DE" w14:textId="77777777" w:rsidR="0043400B"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0F2FCCF0" w14:textId="77777777" w:rsidR="0043400B" w:rsidRDefault="00000000">
            <w:pPr>
              <w:keepNext/>
              <w:keepLines/>
              <w:spacing w:after="0" w:line="240" w:lineRule="auto"/>
            </w:pPr>
            <w:r>
              <w:rPr>
                <w:sz w:val="18"/>
              </w:rPr>
              <w:t>329</w:t>
            </w:r>
          </w:p>
        </w:tc>
        <w:tc>
          <w:tcPr>
            <w:tcW w:w="1860" w:type="dxa"/>
            <w:tcMar>
              <w:top w:w="0" w:type="dxa"/>
              <w:bottom w:w="0" w:type="dxa"/>
            </w:tcMar>
            <w:vAlign w:val="center"/>
          </w:tcPr>
          <w:p w14:paraId="37D5CB03" w14:textId="77777777" w:rsidR="0043400B" w:rsidRDefault="00000000">
            <w:pPr>
              <w:keepNext/>
              <w:keepLines/>
              <w:spacing w:after="0" w:line="240" w:lineRule="auto"/>
              <w:jc w:val="right"/>
            </w:pPr>
            <w:r>
              <w:rPr>
                <w:sz w:val="18"/>
              </w:rPr>
              <w:t>196,72</w:t>
            </w:r>
          </w:p>
        </w:tc>
        <w:tc>
          <w:tcPr>
            <w:tcW w:w="1860" w:type="dxa"/>
            <w:tcMar>
              <w:top w:w="0" w:type="dxa"/>
              <w:bottom w:w="0" w:type="dxa"/>
            </w:tcMar>
            <w:vAlign w:val="center"/>
          </w:tcPr>
          <w:p w14:paraId="1FD9F1EE" w14:textId="77777777" w:rsidR="0043400B" w:rsidRDefault="00000000">
            <w:pPr>
              <w:keepNext/>
              <w:keepLines/>
              <w:spacing w:after="0" w:line="240" w:lineRule="auto"/>
              <w:jc w:val="right"/>
            </w:pPr>
            <w:r>
              <w:rPr>
                <w:sz w:val="18"/>
              </w:rPr>
              <w:t>270,34</w:t>
            </w:r>
          </w:p>
        </w:tc>
        <w:tc>
          <w:tcPr>
            <w:tcW w:w="700" w:type="dxa"/>
            <w:tcMar>
              <w:top w:w="0" w:type="dxa"/>
              <w:bottom w:w="0" w:type="dxa"/>
            </w:tcMar>
            <w:vAlign w:val="center"/>
          </w:tcPr>
          <w:p w14:paraId="07230803" w14:textId="77777777" w:rsidR="0043400B" w:rsidRDefault="00000000">
            <w:pPr>
              <w:keepNext/>
              <w:keepLines/>
              <w:spacing w:after="0" w:line="240" w:lineRule="auto"/>
              <w:jc w:val="right"/>
            </w:pPr>
            <w:r>
              <w:rPr>
                <w:sz w:val="18"/>
              </w:rPr>
              <w:t>137,4</w:t>
            </w:r>
          </w:p>
        </w:tc>
      </w:tr>
    </w:tbl>
    <w:p w14:paraId="537AB0E3" w14:textId="77777777" w:rsidR="0043400B" w:rsidRDefault="0043400B">
      <w:pPr>
        <w:spacing w:after="0"/>
      </w:pPr>
    </w:p>
    <w:p w14:paraId="24E0E0F7" w14:textId="77777777" w:rsidR="0043400B" w:rsidRDefault="00000000">
      <w:r>
        <w:lastRenderedPageBreak/>
        <w:t>Ostali nespomenuti rashodi . ispravljeno je knjiženje u 2025.g. sa konta ostale usluge na konto pristojbe za HRT /RTV </w:t>
      </w:r>
    </w:p>
    <w:p w14:paraId="622317CE" w14:textId="77777777" w:rsidR="0043400B" w:rsidRDefault="0043400B"/>
    <w:p w14:paraId="77551CE3" w14:textId="77777777" w:rsidR="0043400B"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496B86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42359D"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0F9955"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7A2ECB"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61DE36"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96ADDC"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98AE82" w14:textId="77777777" w:rsidR="0043400B" w:rsidRDefault="00000000">
            <w:pPr>
              <w:keepNext/>
              <w:keepLines/>
              <w:spacing w:after="0" w:line="240" w:lineRule="auto"/>
              <w:jc w:val="center"/>
            </w:pPr>
            <w:r>
              <w:rPr>
                <w:b/>
                <w:sz w:val="18"/>
              </w:rPr>
              <w:t>Indeks (%)</w:t>
            </w:r>
          </w:p>
        </w:tc>
      </w:tr>
      <w:tr w:rsidR="0043400B" w14:paraId="2C1292F4" w14:textId="77777777">
        <w:tblPrEx>
          <w:tblCellMar>
            <w:top w:w="0" w:type="dxa"/>
            <w:bottom w:w="0" w:type="dxa"/>
          </w:tblCellMar>
        </w:tblPrEx>
        <w:trPr>
          <w:cantSplit/>
          <w:trHeight w:val="560"/>
        </w:trPr>
        <w:tc>
          <w:tcPr>
            <w:tcW w:w="700" w:type="dxa"/>
            <w:tcMar>
              <w:top w:w="0" w:type="dxa"/>
              <w:bottom w:w="0" w:type="dxa"/>
            </w:tcMar>
            <w:vAlign w:val="center"/>
          </w:tcPr>
          <w:p w14:paraId="3D024583" w14:textId="77777777" w:rsidR="0043400B" w:rsidRDefault="00000000">
            <w:pPr>
              <w:keepNext/>
              <w:keepLines/>
              <w:spacing w:after="0" w:line="240" w:lineRule="auto"/>
            </w:pPr>
            <w:r>
              <w:rPr>
                <w:sz w:val="18"/>
              </w:rPr>
              <w:t>3295</w:t>
            </w:r>
          </w:p>
        </w:tc>
        <w:tc>
          <w:tcPr>
            <w:tcW w:w="3180" w:type="dxa"/>
            <w:tcMar>
              <w:top w:w="0" w:type="dxa"/>
              <w:bottom w:w="0" w:type="dxa"/>
            </w:tcMar>
            <w:vAlign w:val="center"/>
          </w:tcPr>
          <w:p w14:paraId="1B31938D" w14:textId="77777777" w:rsidR="0043400B" w:rsidRDefault="00000000">
            <w:pPr>
              <w:keepNext/>
              <w:keepLines/>
              <w:spacing w:after="0" w:line="240" w:lineRule="auto"/>
            </w:pPr>
            <w:r>
              <w:rPr>
                <w:sz w:val="18"/>
              </w:rPr>
              <w:t>Pristojbe i naknade</w:t>
            </w:r>
          </w:p>
        </w:tc>
        <w:tc>
          <w:tcPr>
            <w:tcW w:w="700" w:type="dxa"/>
            <w:tcMar>
              <w:top w:w="0" w:type="dxa"/>
              <w:bottom w:w="0" w:type="dxa"/>
            </w:tcMar>
            <w:vAlign w:val="center"/>
          </w:tcPr>
          <w:p w14:paraId="57F63D58" w14:textId="77777777" w:rsidR="0043400B" w:rsidRDefault="00000000">
            <w:pPr>
              <w:keepNext/>
              <w:keepLines/>
              <w:spacing w:after="0" w:line="240" w:lineRule="auto"/>
            </w:pPr>
            <w:r>
              <w:rPr>
                <w:sz w:val="18"/>
              </w:rPr>
              <w:t>3295</w:t>
            </w:r>
          </w:p>
        </w:tc>
        <w:tc>
          <w:tcPr>
            <w:tcW w:w="1860" w:type="dxa"/>
            <w:tcMar>
              <w:top w:w="0" w:type="dxa"/>
              <w:bottom w:w="0" w:type="dxa"/>
            </w:tcMar>
            <w:vAlign w:val="center"/>
          </w:tcPr>
          <w:p w14:paraId="1C9C50DB" w14:textId="77777777" w:rsidR="0043400B" w:rsidRDefault="00000000">
            <w:pPr>
              <w:keepNext/>
              <w:keepLines/>
              <w:spacing w:after="0" w:line="240" w:lineRule="auto"/>
              <w:jc w:val="right"/>
            </w:pPr>
            <w:r>
              <w:rPr>
                <w:sz w:val="18"/>
              </w:rPr>
              <w:t>65,38</w:t>
            </w:r>
          </w:p>
        </w:tc>
        <w:tc>
          <w:tcPr>
            <w:tcW w:w="1860" w:type="dxa"/>
            <w:tcMar>
              <w:top w:w="0" w:type="dxa"/>
              <w:bottom w:w="0" w:type="dxa"/>
            </w:tcMar>
            <w:vAlign w:val="center"/>
          </w:tcPr>
          <w:p w14:paraId="33D6AD03" w14:textId="77777777" w:rsidR="0043400B" w:rsidRDefault="00000000">
            <w:pPr>
              <w:keepNext/>
              <w:keepLines/>
              <w:spacing w:after="0" w:line="240" w:lineRule="auto"/>
              <w:jc w:val="right"/>
            </w:pPr>
            <w:r>
              <w:rPr>
                <w:sz w:val="18"/>
              </w:rPr>
              <w:t>233,64</w:t>
            </w:r>
          </w:p>
        </w:tc>
        <w:tc>
          <w:tcPr>
            <w:tcW w:w="700" w:type="dxa"/>
            <w:tcMar>
              <w:top w:w="0" w:type="dxa"/>
              <w:bottom w:w="0" w:type="dxa"/>
            </w:tcMar>
            <w:vAlign w:val="center"/>
          </w:tcPr>
          <w:p w14:paraId="4DB8228E" w14:textId="77777777" w:rsidR="0043400B" w:rsidRDefault="00000000">
            <w:pPr>
              <w:keepNext/>
              <w:keepLines/>
              <w:spacing w:after="0" w:line="240" w:lineRule="auto"/>
              <w:jc w:val="right"/>
            </w:pPr>
            <w:r>
              <w:rPr>
                <w:sz w:val="18"/>
              </w:rPr>
              <w:t>357,4</w:t>
            </w:r>
          </w:p>
        </w:tc>
      </w:tr>
    </w:tbl>
    <w:p w14:paraId="5F9C6DA9" w14:textId="77777777" w:rsidR="0043400B" w:rsidRDefault="0043400B">
      <w:pPr>
        <w:spacing w:after="0"/>
      </w:pPr>
    </w:p>
    <w:p w14:paraId="0F27D021" w14:textId="77777777" w:rsidR="0043400B" w:rsidRDefault="00000000">
      <w:r>
        <w:t> Ispravljeno je knjiženje u 2025.g. sa konta ostale usluge na konto pristojbe za HRT /RTV pa je radi toga ova pozicija veća no prethodne godine .</w:t>
      </w:r>
    </w:p>
    <w:p w14:paraId="05682C67" w14:textId="77777777" w:rsidR="0043400B" w:rsidRDefault="0043400B"/>
    <w:p w14:paraId="087C178E" w14:textId="77777777" w:rsidR="0043400B"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43BFCF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A0558A"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FE5663"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450A33"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A538A5"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7ADDEB"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A06141" w14:textId="77777777" w:rsidR="0043400B" w:rsidRDefault="00000000">
            <w:pPr>
              <w:keepNext/>
              <w:keepLines/>
              <w:spacing w:after="0" w:line="240" w:lineRule="auto"/>
              <w:jc w:val="center"/>
            </w:pPr>
            <w:r>
              <w:rPr>
                <w:b/>
                <w:sz w:val="18"/>
              </w:rPr>
              <w:t>Indeks (%)</w:t>
            </w:r>
          </w:p>
        </w:tc>
      </w:tr>
      <w:tr w:rsidR="0043400B" w14:paraId="17E65141" w14:textId="77777777">
        <w:tblPrEx>
          <w:tblCellMar>
            <w:top w:w="0" w:type="dxa"/>
            <w:bottom w:w="0" w:type="dxa"/>
          </w:tblCellMar>
        </w:tblPrEx>
        <w:trPr>
          <w:cantSplit/>
          <w:trHeight w:val="560"/>
        </w:trPr>
        <w:tc>
          <w:tcPr>
            <w:tcW w:w="700" w:type="dxa"/>
            <w:tcMar>
              <w:top w:w="0" w:type="dxa"/>
              <w:bottom w:w="0" w:type="dxa"/>
            </w:tcMar>
            <w:vAlign w:val="center"/>
          </w:tcPr>
          <w:p w14:paraId="307A20FF" w14:textId="77777777" w:rsidR="0043400B" w:rsidRDefault="00000000">
            <w:pPr>
              <w:keepNext/>
              <w:keepLines/>
              <w:spacing w:after="0" w:line="240" w:lineRule="auto"/>
            </w:pPr>
            <w:r>
              <w:rPr>
                <w:sz w:val="18"/>
              </w:rPr>
              <w:t>343</w:t>
            </w:r>
          </w:p>
        </w:tc>
        <w:tc>
          <w:tcPr>
            <w:tcW w:w="3180" w:type="dxa"/>
            <w:tcMar>
              <w:top w:w="0" w:type="dxa"/>
              <w:bottom w:w="0" w:type="dxa"/>
            </w:tcMar>
            <w:vAlign w:val="center"/>
          </w:tcPr>
          <w:p w14:paraId="5850A1B7" w14:textId="77777777" w:rsidR="0043400B"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14:paraId="2858C379" w14:textId="77777777" w:rsidR="0043400B" w:rsidRDefault="00000000">
            <w:pPr>
              <w:keepNext/>
              <w:keepLines/>
              <w:spacing w:after="0" w:line="240" w:lineRule="auto"/>
            </w:pPr>
            <w:r>
              <w:rPr>
                <w:sz w:val="18"/>
              </w:rPr>
              <w:t>343</w:t>
            </w:r>
          </w:p>
        </w:tc>
        <w:tc>
          <w:tcPr>
            <w:tcW w:w="1860" w:type="dxa"/>
            <w:tcMar>
              <w:top w:w="0" w:type="dxa"/>
              <w:bottom w:w="0" w:type="dxa"/>
            </w:tcMar>
            <w:vAlign w:val="center"/>
          </w:tcPr>
          <w:p w14:paraId="704FB233" w14:textId="77777777" w:rsidR="0043400B" w:rsidRDefault="00000000">
            <w:pPr>
              <w:keepNext/>
              <w:keepLines/>
              <w:spacing w:after="0" w:line="240" w:lineRule="auto"/>
              <w:jc w:val="right"/>
            </w:pPr>
            <w:r>
              <w:rPr>
                <w:sz w:val="18"/>
              </w:rPr>
              <w:t>331,90</w:t>
            </w:r>
          </w:p>
        </w:tc>
        <w:tc>
          <w:tcPr>
            <w:tcW w:w="1860" w:type="dxa"/>
            <w:tcMar>
              <w:top w:w="0" w:type="dxa"/>
              <w:bottom w:w="0" w:type="dxa"/>
            </w:tcMar>
            <w:vAlign w:val="center"/>
          </w:tcPr>
          <w:p w14:paraId="3C74460A" w14:textId="77777777" w:rsidR="0043400B" w:rsidRDefault="00000000">
            <w:pPr>
              <w:keepNext/>
              <w:keepLines/>
              <w:spacing w:after="0" w:line="240" w:lineRule="auto"/>
              <w:jc w:val="right"/>
            </w:pPr>
            <w:r>
              <w:rPr>
                <w:sz w:val="18"/>
              </w:rPr>
              <w:t>37,25</w:t>
            </w:r>
          </w:p>
        </w:tc>
        <w:tc>
          <w:tcPr>
            <w:tcW w:w="700" w:type="dxa"/>
            <w:tcMar>
              <w:top w:w="0" w:type="dxa"/>
              <w:bottom w:w="0" w:type="dxa"/>
            </w:tcMar>
            <w:vAlign w:val="center"/>
          </w:tcPr>
          <w:p w14:paraId="53AFBCAE" w14:textId="77777777" w:rsidR="0043400B" w:rsidRDefault="00000000">
            <w:pPr>
              <w:keepNext/>
              <w:keepLines/>
              <w:spacing w:after="0" w:line="240" w:lineRule="auto"/>
              <w:jc w:val="right"/>
            </w:pPr>
            <w:r>
              <w:rPr>
                <w:sz w:val="18"/>
              </w:rPr>
              <w:t>11,2</w:t>
            </w:r>
          </w:p>
        </w:tc>
      </w:tr>
    </w:tbl>
    <w:p w14:paraId="79C7EF9E" w14:textId="77777777" w:rsidR="0043400B" w:rsidRDefault="0043400B">
      <w:pPr>
        <w:spacing w:after="0"/>
      </w:pPr>
    </w:p>
    <w:p w14:paraId="06408BC5" w14:textId="77777777" w:rsidR="0043400B" w:rsidRDefault="00000000">
      <w:r>
        <w:t>Bankarske usluge , prelaskom u punu riznicu Nadležnog proračuna žiro-račun je zatvoren tijekom veljače 2025.g.  tako da je zadnji račun plaćen prilikom zatvaranja računa .</w:t>
      </w:r>
    </w:p>
    <w:p w14:paraId="753EB258" w14:textId="77777777" w:rsidR="0043400B" w:rsidRDefault="0043400B"/>
    <w:p w14:paraId="014CD980" w14:textId="77777777" w:rsidR="0043400B"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1DEFA1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40BCF7"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9E5C25"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41EBF5"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05DAC9"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A7477B"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6E1A31" w14:textId="77777777" w:rsidR="0043400B" w:rsidRDefault="00000000">
            <w:pPr>
              <w:keepNext/>
              <w:keepLines/>
              <w:spacing w:after="0" w:line="240" w:lineRule="auto"/>
              <w:jc w:val="center"/>
            </w:pPr>
            <w:r>
              <w:rPr>
                <w:b/>
                <w:sz w:val="18"/>
              </w:rPr>
              <w:t>Indeks (%)</w:t>
            </w:r>
          </w:p>
        </w:tc>
      </w:tr>
      <w:tr w:rsidR="0043400B" w14:paraId="4EA016B5" w14:textId="77777777">
        <w:tblPrEx>
          <w:tblCellMar>
            <w:top w:w="0" w:type="dxa"/>
            <w:bottom w:w="0" w:type="dxa"/>
          </w:tblCellMar>
        </w:tblPrEx>
        <w:trPr>
          <w:cantSplit/>
          <w:trHeight w:val="560"/>
        </w:trPr>
        <w:tc>
          <w:tcPr>
            <w:tcW w:w="700" w:type="dxa"/>
            <w:tcMar>
              <w:top w:w="0" w:type="dxa"/>
              <w:bottom w:w="0" w:type="dxa"/>
            </w:tcMar>
            <w:vAlign w:val="center"/>
          </w:tcPr>
          <w:p w14:paraId="0D209F5B" w14:textId="77777777" w:rsidR="0043400B" w:rsidRDefault="00000000">
            <w:pPr>
              <w:keepNext/>
              <w:keepLines/>
              <w:spacing w:after="0" w:line="240" w:lineRule="auto"/>
            </w:pPr>
            <w:r>
              <w:rPr>
                <w:sz w:val="18"/>
              </w:rPr>
              <w:t>42</w:t>
            </w:r>
          </w:p>
        </w:tc>
        <w:tc>
          <w:tcPr>
            <w:tcW w:w="3180" w:type="dxa"/>
            <w:tcMar>
              <w:top w:w="0" w:type="dxa"/>
              <w:bottom w:w="0" w:type="dxa"/>
            </w:tcMar>
            <w:vAlign w:val="center"/>
          </w:tcPr>
          <w:p w14:paraId="378E2F44" w14:textId="77777777" w:rsidR="0043400B"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64B808EF" w14:textId="77777777" w:rsidR="0043400B" w:rsidRDefault="00000000">
            <w:pPr>
              <w:keepNext/>
              <w:keepLines/>
              <w:spacing w:after="0" w:line="240" w:lineRule="auto"/>
            </w:pPr>
            <w:r>
              <w:rPr>
                <w:sz w:val="18"/>
              </w:rPr>
              <w:t>42</w:t>
            </w:r>
          </w:p>
        </w:tc>
        <w:tc>
          <w:tcPr>
            <w:tcW w:w="1860" w:type="dxa"/>
            <w:tcMar>
              <w:top w:w="0" w:type="dxa"/>
              <w:bottom w:w="0" w:type="dxa"/>
            </w:tcMar>
            <w:vAlign w:val="center"/>
          </w:tcPr>
          <w:p w14:paraId="033BB2BD" w14:textId="77777777" w:rsidR="0043400B" w:rsidRDefault="00000000">
            <w:pPr>
              <w:keepNext/>
              <w:keepLines/>
              <w:spacing w:after="0" w:line="240" w:lineRule="auto"/>
              <w:jc w:val="right"/>
            </w:pPr>
            <w:r>
              <w:rPr>
                <w:sz w:val="18"/>
              </w:rPr>
              <w:t>10.219,31</w:t>
            </w:r>
          </w:p>
        </w:tc>
        <w:tc>
          <w:tcPr>
            <w:tcW w:w="1860" w:type="dxa"/>
            <w:tcMar>
              <w:top w:w="0" w:type="dxa"/>
              <w:bottom w:w="0" w:type="dxa"/>
            </w:tcMar>
            <w:vAlign w:val="center"/>
          </w:tcPr>
          <w:p w14:paraId="24449E15" w14:textId="77777777" w:rsidR="0043400B" w:rsidRDefault="00000000">
            <w:pPr>
              <w:keepNext/>
              <w:keepLines/>
              <w:spacing w:after="0" w:line="240" w:lineRule="auto"/>
              <w:jc w:val="right"/>
            </w:pPr>
            <w:r>
              <w:rPr>
                <w:sz w:val="18"/>
              </w:rPr>
              <w:t>19.884,85</w:t>
            </w:r>
          </w:p>
        </w:tc>
        <w:tc>
          <w:tcPr>
            <w:tcW w:w="700" w:type="dxa"/>
            <w:tcMar>
              <w:top w:w="0" w:type="dxa"/>
              <w:bottom w:w="0" w:type="dxa"/>
            </w:tcMar>
            <w:vAlign w:val="center"/>
          </w:tcPr>
          <w:p w14:paraId="77713F8E" w14:textId="77777777" w:rsidR="0043400B" w:rsidRDefault="00000000">
            <w:pPr>
              <w:keepNext/>
              <w:keepLines/>
              <w:spacing w:after="0" w:line="240" w:lineRule="auto"/>
              <w:jc w:val="right"/>
            </w:pPr>
            <w:r>
              <w:rPr>
                <w:sz w:val="18"/>
              </w:rPr>
              <w:t>194,6</w:t>
            </w:r>
          </w:p>
        </w:tc>
      </w:tr>
    </w:tbl>
    <w:p w14:paraId="6E93FBC9" w14:textId="77777777" w:rsidR="0043400B" w:rsidRDefault="0043400B">
      <w:pPr>
        <w:spacing w:after="0"/>
      </w:pPr>
    </w:p>
    <w:p w14:paraId="3E2F4CA6" w14:textId="77777777" w:rsidR="0043400B" w:rsidRDefault="00000000">
      <w:r>
        <w:t>Rashodi za nabavu proizvedene dugotrajne  imovine ,  indeks odstupanja  je veći  u odnosu na prethodnu godinu radi veće nabave  knjiga sukladno planiranim proračunskim sredstvima  NP i Ministarstva kulture i medija te nabave opreme .</w:t>
      </w:r>
    </w:p>
    <w:p w14:paraId="379C553F" w14:textId="77777777" w:rsidR="0043400B" w:rsidRDefault="0043400B"/>
    <w:p w14:paraId="037F1CAB" w14:textId="77777777" w:rsidR="0043400B"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761B37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7B8A3D"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730FE4"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356D79"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B5BE62"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558028"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224E1B" w14:textId="77777777" w:rsidR="0043400B" w:rsidRDefault="00000000">
            <w:pPr>
              <w:keepNext/>
              <w:keepLines/>
              <w:spacing w:after="0" w:line="240" w:lineRule="auto"/>
              <w:jc w:val="center"/>
            </w:pPr>
            <w:r>
              <w:rPr>
                <w:b/>
                <w:sz w:val="18"/>
              </w:rPr>
              <w:t>Indeks (%)</w:t>
            </w:r>
          </w:p>
        </w:tc>
      </w:tr>
      <w:tr w:rsidR="0043400B" w14:paraId="318485DE" w14:textId="77777777">
        <w:tblPrEx>
          <w:tblCellMar>
            <w:top w:w="0" w:type="dxa"/>
            <w:bottom w:w="0" w:type="dxa"/>
          </w:tblCellMar>
        </w:tblPrEx>
        <w:trPr>
          <w:cantSplit/>
          <w:trHeight w:val="560"/>
        </w:trPr>
        <w:tc>
          <w:tcPr>
            <w:tcW w:w="700" w:type="dxa"/>
            <w:tcMar>
              <w:top w:w="0" w:type="dxa"/>
              <w:bottom w:w="0" w:type="dxa"/>
            </w:tcMar>
            <w:vAlign w:val="center"/>
          </w:tcPr>
          <w:p w14:paraId="0D3C6772" w14:textId="77777777" w:rsidR="0043400B" w:rsidRDefault="00000000">
            <w:pPr>
              <w:keepNext/>
              <w:keepLines/>
              <w:spacing w:after="0" w:line="240" w:lineRule="auto"/>
            </w:pPr>
            <w:r>
              <w:rPr>
                <w:sz w:val="18"/>
              </w:rPr>
              <w:t>422</w:t>
            </w:r>
          </w:p>
        </w:tc>
        <w:tc>
          <w:tcPr>
            <w:tcW w:w="3180" w:type="dxa"/>
            <w:tcMar>
              <w:top w:w="0" w:type="dxa"/>
              <w:bottom w:w="0" w:type="dxa"/>
            </w:tcMar>
            <w:vAlign w:val="center"/>
          </w:tcPr>
          <w:p w14:paraId="615941AD" w14:textId="77777777" w:rsidR="0043400B"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38396BB4" w14:textId="77777777" w:rsidR="0043400B" w:rsidRDefault="00000000">
            <w:pPr>
              <w:keepNext/>
              <w:keepLines/>
              <w:spacing w:after="0" w:line="240" w:lineRule="auto"/>
            </w:pPr>
            <w:r>
              <w:rPr>
                <w:sz w:val="18"/>
              </w:rPr>
              <w:t>422</w:t>
            </w:r>
          </w:p>
        </w:tc>
        <w:tc>
          <w:tcPr>
            <w:tcW w:w="1860" w:type="dxa"/>
            <w:tcMar>
              <w:top w:w="0" w:type="dxa"/>
              <w:bottom w:w="0" w:type="dxa"/>
            </w:tcMar>
            <w:vAlign w:val="center"/>
          </w:tcPr>
          <w:p w14:paraId="0DE5BAC6" w14:textId="77777777" w:rsidR="0043400B" w:rsidRDefault="00000000">
            <w:pPr>
              <w:keepNext/>
              <w:keepLines/>
              <w:spacing w:after="0" w:line="240" w:lineRule="auto"/>
              <w:jc w:val="right"/>
            </w:pPr>
            <w:r>
              <w:rPr>
                <w:sz w:val="18"/>
              </w:rPr>
              <w:t>1.096,71</w:t>
            </w:r>
          </w:p>
        </w:tc>
        <w:tc>
          <w:tcPr>
            <w:tcW w:w="1860" w:type="dxa"/>
            <w:tcMar>
              <w:top w:w="0" w:type="dxa"/>
              <w:bottom w:w="0" w:type="dxa"/>
            </w:tcMar>
            <w:vAlign w:val="center"/>
          </w:tcPr>
          <w:p w14:paraId="413B045D" w14:textId="77777777" w:rsidR="0043400B" w:rsidRDefault="00000000">
            <w:pPr>
              <w:keepNext/>
              <w:keepLines/>
              <w:spacing w:after="0" w:line="240" w:lineRule="auto"/>
              <w:jc w:val="right"/>
            </w:pPr>
            <w:r>
              <w:rPr>
                <w:sz w:val="18"/>
              </w:rPr>
              <w:t>10.159,26</w:t>
            </w:r>
          </w:p>
        </w:tc>
        <w:tc>
          <w:tcPr>
            <w:tcW w:w="700" w:type="dxa"/>
            <w:tcMar>
              <w:top w:w="0" w:type="dxa"/>
              <w:bottom w:w="0" w:type="dxa"/>
            </w:tcMar>
            <w:vAlign w:val="center"/>
          </w:tcPr>
          <w:p w14:paraId="102333BD" w14:textId="77777777" w:rsidR="0043400B" w:rsidRDefault="00000000">
            <w:pPr>
              <w:keepNext/>
              <w:keepLines/>
              <w:spacing w:after="0" w:line="240" w:lineRule="auto"/>
              <w:jc w:val="right"/>
            </w:pPr>
            <w:r>
              <w:rPr>
                <w:sz w:val="18"/>
              </w:rPr>
              <w:t>926,3</w:t>
            </w:r>
          </w:p>
        </w:tc>
      </w:tr>
    </w:tbl>
    <w:p w14:paraId="441075EE" w14:textId="77777777" w:rsidR="0043400B" w:rsidRDefault="0043400B">
      <w:pPr>
        <w:spacing w:after="0"/>
      </w:pPr>
    </w:p>
    <w:p w14:paraId="468914F6" w14:textId="77777777" w:rsidR="0043400B" w:rsidRDefault="00000000">
      <w:r>
        <w:lastRenderedPageBreak/>
        <w:t>Postrojenja i oprema ; nabavljen je konferencijski stol sa stolicama za multimedijalnu dvoranu , printer, skener i zvučnik .</w:t>
      </w:r>
    </w:p>
    <w:p w14:paraId="13F5F19E" w14:textId="77777777" w:rsidR="0043400B" w:rsidRDefault="0043400B"/>
    <w:p w14:paraId="5D43027A" w14:textId="77777777" w:rsidR="0043400B"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19AF72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C2F87B"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C371AE"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ED08BD"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74FD0B"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1C8CA7"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4CADAB" w14:textId="77777777" w:rsidR="0043400B" w:rsidRDefault="00000000">
            <w:pPr>
              <w:keepNext/>
              <w:keepLines/>
              <w:spacing w:after="0" w:line="240" w:lineRule="auto"/>
              <w:jc w:val="center"/>
            </w:pPr>
            <w:r>
              <w:rPr>
                <w:b/>
                <w:sz w:val="18"/>
              </w:rPr>
              <w:t>Indeks (%)</w:t>
            </w:r>
          </w:p>
        </w:tc>
      </w:tr>
      <w:tr w:rsidR="0043400B" w14:paraId="724704E4" w14:textId="77777777">
        <w:tblPrEx>
          <w:tblCellMar>
            <w:top w:w="0" w:type="dxa"/>
            <w:bottom w:w="0" w:type="dxa"/>
          </w:tblCellMar>
        </w:tblPrEx>
        <w:trPr>
          <w:cantSplit/>
          <w:trHeight w:val="560"/>
        </w:trPr>
        <w:tc>
          <w:tcPr>
            <w:tcW w:w="700" w:type="dxa"/>
            <w:tcMar>
              <w:top w:w="0" w:type="dxa"/>
              <w:bottom w:w="0" w:type="dxa"/>
            </w:tcMar>
            <w:vAlign w:val="center"/>
          </w:tcPr>
          <w:p w14:paraId="7AC8A297" w14:textId="77777777" w:rsidR="0043400B" w:rsidRDefault="00000000">
            <w:pPr>
              <w:keepNext/>
              <w:keepLines/>
              <w:spacing w:after="0" w:line="240" w:lineRule="auto"/>
            </w:pPr>
            <w:r>
              <w:rPr>
                <w:sz w:val="18"/>
              </w:rPr>
              <w:t>424</w:t>
            </w:r>
          </w:p>
        </w:tc>
        <w:tc>
          <w:tcPr>
            <w:tcW w:w="3180" w:type="dxa"/>
            <w:tcMar>
              <w:top w:w="0" w:type="dxa"/>
              <w:bottom w:w="0" w:type="dxa"/>
            </w:tcMar>
            <w:vAlign w:val="center"/>
          </w:tcPr>
          <w:p w14:paraId="7E1271FD" w14:textId="77777777" w:rsidR="0043400B" w:rsidRDefault="00000000">
            <w:pPr>
              <w:keepNext/>
              <w:keepLines/>
              <w:spacing w:after="0" w:line="240" w:lineRule="auto"/>
            </w:pPr>
            <w:r>
              <w:rPr>
                <w:sz w:val="18"/>
              </w:rPr>
              <w:t>Knjige, umjetnička djela i ostale izložbene vrijednosti (šifre 4241 do 4244)</w:t>
            </w:r>
          </w:p>
        </w:tc>
        <w:tc>
          <w:tcPr>
            <w:tcW w:w="700" w:type="dxa"/>
            <w:tcMar>
              <w:top w:w="0" w:type="dxa"/>
              <w:bottom w:w="0" w:type="dxa"/>
            </w:tcMar>
            <w:vAlign w:val="center"/>
          </w:tcPr>
          <w:p w14:paraId="24ABEFEC" w14:textId="77777777" w:rsidR="0043400B" w:rsidRDefault="00000000">
            <w:pPr>
              <w:keepNext/>
              <w:keepLines/>
              <w:spacing w:after="0" w:line="240" w:lineRule="auto"/>
            </w:pPr>
            <w:r>
              <w:rPr>
                <w:sz w:val="18"/>
              </w:rPr>
              <w:t>424</w:t>
            </w:r>
          </w:p>
        </w:tc>
        <w:tc>
          <w:tcPr>
            <w:tcW w:w="1860" w:type="dxa"/>
            <w:tcMar>
              <w:top w:w="0" w:type="dxa"/>
              <w:bottom w:w="0" w:type="dxa"/>
            </w:tcMar>
            <w:vAlign w:val="center"/>
          </w:tcPr>
          <w:p w14:paraId="731FF1B2" w14:textId="77777777" w:rsidR="0043400B" w:rsidRDefault="00000000">
            <w:pPr>
              <w:keepNext/>
              <w:keepLines/>
              <w:spacing w:after="0" w:line="240" w:lineRule="auto"/>
              <w:jc w:val="right"/>
            </w:pPr>
            <w:r>
              <w:rPr>
                <w:sz w:val="18"/>
              </w:rPr>
              <w:t>9.122,60</w:t>
            </w:r>
          </w:p>
        </w:tc>
        <w:tc>
          <w:tcPr>
            <w:tcW w:w="1860" w:type="dxa"/>
            <w:tcMar>
              <w:top w:w="0" w:type="dxa"/>
              <w:bottom w:w="0" w:type="dxa"/>
            </w:tcMar>
            <w:vAlign w:val="center"/>
          </w:tcPr>
          <w:p w14:paraId="2B882603" w14:textId="77777777" w:rsidR="0043400B" w:rsidRDefault="00000000">
            <w:pPr>
              <w:keepNext/>
              <w:keepLines/>
              <w:spacing w:after="0" w:line="240" w:lineRule="auto"/>
              <w:jc w:val="right"/>
            </w:pPr>
            <w:r>
              <w:rPr>
                <w:sz w:val="18"/>
              </w:rPr>
              <w:t>9.725,59</w:t>
            </w:r>
          </w:p>
        </w:tc>
        <w:tc>
          <w:tcPr>
            <w:tcW w:w="700" w:type="dxa"/>
            <w:tcMar>
              <w:top w:w="0" w:type="dxa"/>
              <w:bottom w:w="0" w:type="dxa"/>
            </w:tcMar>
            <w:vAlign w:val="center"/>
          </w:tcPr>
          <w:p w14:paraId="21270DBE" w14:textId="77777777" w:rsidR="0043400B" w:rsidRDefault="00000000">
            <w:pPr>
              <w:keepNext/>
              <w:keepLines/>
              <w:spacing w:after="0" w:line="240" w:lineRule="auto"/>
              <w:jc w:val="right"/>
            </w:pPr>
            <w:r>
              <w:rPr>
                <w:sz w:val="18"/>
              </w:rPr>
              <w:t>106,6</w:t>
            </w:r>
          </w:p>
        </w:tc>
      </w:tr>
    </w:tbl>
    <w:p w14:paraId="29939AFC" w14:textId="77777777" w:rsidR="0043400B" w:rsidRDefault="0043400B">
      <w:pPr>
        <w:spacing w:after="0"/>
      </w:pPr>
    </w:p>
    <w:p w14:paraId="1EAD8EA4" w14:textId="77777777" w:rsidR="0043400B" w:rsidRDefault="00000000">
      <w:r>
        <w:t>424 Knjige –  redovna je nabava knjiga iz izvora nadležnog proračuna u iznosu od 2,655,00 € te izvora MKIM-a redovna nabava u iznosu od 4.000,00€ nadalje iz istog izvora ali za otkup knjiga NSK-a u iznosu od 3.000,00 € te vlastitih izvora 70,59€ .</w:t>
      </w:r>
    </w:p>
    <w:p w14:paraId="0345DBEF" w14:textId="77777777" w:rsidR="0043400B" w:rsidRDefault="0043400B"/>
    <w:p w14:paraId="2A1315B3" w14:textId="77777777" w:rsidR="0043400B"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624684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343E82"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4EE0D6"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1442E5"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56F3CF"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D3EA8B"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D9D17C" w14:textId="77777777" w:rsidR="0043400B" w:rsidRDefault="00000000">
            <w:pPr>
              <w:keepNext/>
              <w:keepLines/>
              <w:spacing w:after="0" w:line="240" w:lineRule="auto"/>
              <w:jc w:val="center"/>
            </w:pPr>
            <w:r>
              <w:rPr>
                <w:b/>
                <w:sz w:val="18"/>
              </w:rPr>
              <w:t>Indeks (%)</w:t>
            </w:r>
          </w:p>
        </w:tc>
      </w:tr>
      <w:tr w:rsidR="0043400B" w14:paraId="7F145431" w14:textId="77777777">
        <w:tblPrEx>
          <w:tblCellMar>
            <w:top w:w="0" w:type="dxa"/>
            <w:bottom w:w="0" w:type="dxa"/>
          </w:tblCellMar>
        </w:tblPrEx>
        <w:trPr>
          <w:cantSplit/>
          <w:trHeight w:val="560"/>
        </w:trPr>
        <w:tc>
          <w:tcPr>
            <w:tcW w:w="700" w:type="dxa"/>
            <w:tcMar>
              <w:top w:w="0" w:type="dxa"/>
              <w:bottom w:w="0" w:type="dxa"/>
            </w:tcMar>
            <w:vAlign w:val="center"/>
          </w:tcPr>
          <w:p w14:paraId="46615E9A" w14:textId="77777777" w:rsidR="0043400B" w:rsidRDefault="0043400B">
            <w:pPr>
              <w:keepNext/>
              <w:keepLines/>
              <w:spacing w:after="0" w:line="240" w:lineRule="auto"/>
            </w:pPr>
          </w:p>
        </w:tc>
        <w:tc>
          <w:tcPr>
            <w:tcW w:w="3180" w:type="dxa"/>
            <w:tcMar>
              <w:top w:w="0" w:type="dxa"/>
              <w:bottom w:w="0" w:type="dxa"/>
            </w:tcMar>
            <w:vAlign w:val="center"/>
          </w:tcPr>
          <w:p w14:paraId="20770148" w14:textId="77777777" w:rsidR="0043400B"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1078D7A3" w14:textId="77777777" w:rsidR="0043400B" w:rsidRDefault="00000000">
            <w:pPr>
              <w:keepNext/>
              <w:keepLines/>
              <w:spacing w:after="0" w:line="240" w:lineRule="auto"/>
            </w:pPr>
            <w:r>
              <w:rPr>
                <w:sz w:val="18"/>
              </w:rPr>
              <w:t>Y006</w:t>
            </w:r>
          </w:p>
        </w:tc>
        <w:tc>
          <w:tcPr>
            <w:tcW w:w="1860" w:type="dxa"/>
            <w:tcMar>
              <w:top w:w="0" w:type="dxa"/>
              <w:bottom w:w="0" w:type="dxa"/>
            </w:tcMar>
            <w:vAlign w:val="center"/>
          </w:tcPr>
          <w:p w14:paraId="06F54FB3" w14:textId="77777777" w:rsidR="0043400B" w:rsidRDefault="00000000">
            <w:pPr>
              <w:keepNext/>
              <w:keepLines/>
              <w:spacing w:after="0" w:line="240" w:lineRule="auto"/>
              <w:jc w:val="right"/>
            </w:pPr>
            <w:r>
              <w:rPr>
                <w:sz w:val="18"/>
              </w:rPr>
              <w:t>888,52</w:t>
            </w:r>
          </w:p>
        </w:tc>
        <w:tc>
          <w:tcPr>
            <w:tcW w:w="1860" w:type="dxa"/>
            <w:tcMar>
              <w:top w:w="0" w:type="dxa"/>
              <w:bottom w:w="0" w:type="dxa"/>
            </w:tcMar>
            <w:vAlign w:val="center"/>
          </w:tcPr>
          <w:p w14:paraId="0BFF4472" w14:textId="77777777" w:rsidR="0043400B" w:rsidRDefault="00000000">
            <w:pPr>
              <w:keepNext/>
              <w:keepLines/>
              <w:spacing w:after="0" w:line="240" w:lineRule="auto"/>
              <w:jc w:val="right"/>
            </w:pPr>
            <w:r>
              <w:rPr>
                <w:sz w:val="18"/>
              </w:rPr>
              <w:t>2.219,58</w:t>
            </w:r>
          </w:p>
        </w:tc>
        <w:tc>
          <w:tcPr>
            <w:tcW w:w="700" w:type="dxa"/>
            <w:tcMar>
              <w:top w:w="0" w:type="dxa"/>
              <w:bottom w:w="0" w:type="dxa"/>
            </w:tcMar>
            <w:vAlign w:val="center"/>
          </w:tcPr>
          <w:p w14:paraId="5AF188A7" w14:textId="77777777" w:rsidR="0043400B" w:rsidRDefault="00000000">
            <w:pPr>
              <w:keepNext/>
              <w:keepLines/>
              <w:spacing w:after="0" w:line="240" w:lineRule="auto"/>
              <w:jc w:val="right"/>
            </w:pPr>
            <w:r>
              <w:rPr>
                <w:sz w:val="18"/>
              </w:rPr>
              <w:t>249,8</w:t>
            </w:r>
          </w:p>
        </w:tc>
      </w:tr>
    </w:tbl>
    <w:p w14:paraId="49EEE0B9" w14:textId="77777777" w:rsidR="0043400B" w:rsidRDefault="0043400B">
      <w:pPr>
        <w:spacing w:after="0"/>
      </w:pPr>
    </w:p>
    <w:p w14:paraId="0CA0B145" w14:textId="22680DE4" w:rsidR="00634F16" w:rsidRPr="00634F16" w:rsidRDefault="00000000" w:rsidP="00634F16">
      <w:r>
        <w:t>Sučeljavanjem ukupnih prihoda od 76.710,07€ i ukupnih rashoda u iznosu od 78.475,70€ dobiven je  višak prihoda u iznosu od =1.765,63€,  uz preneseni manjak iz prethodne godine od 453,95€ dobiven je manjak prihoda u iznosu od =2.219,58. Manjak je sadržan u obračunatoj plaći za mjesec prosinac 2025.g. te knjiženim nedospjelim računima za isti mjesec.  </w:t>
      </w:r>
    </w:p>
    <w:tbl>
      <w:tblPr>
        <w:tblW w:w="9780" w:type="dxa"/>
        <w:tblCellMar>
          <w:top w:w="15" w:type="dxa"/>
          <w:left w:w="15" w:type="dxa"/>
          <w:bottom w:w="15" w:type="dxa"/>
          <w:right w:w="15" w:type="dxa"/>
        </w:tblCellMar>
        <w:tblLook w:val="04A0" w:firstRow="1" w:lastRow="0" w:firstColumn="1" w:lastColumn="0" w:noHBand="0" w:noVBand="1"/>
      </w:tblPr>
      <w:tblGrid>
        <w:gridCol w:w="6281"/>
        <w:gridCol w:w="1955"/>
        <w:gridCol w:w="1544"/>
      </w:tblGrid>
      <w:tr w:rsidR="00634F16" w:rsidRPr="00634F16" w14:paraId="5D6F53F8" w14:textId="77777777">
        <w:tc>
          <w:tcPr>
            <w:tcW w:w="0" w:type="auto"/>
            <w:tcBorders>
              <w:bottom w:val="single" w:sz="6" w:space="0" w:color="DCDFE5"/>
            </w:tcBorders>
            <w:tcMar>
              <w:top w:w="120" w:type="dxa"/>
              <w:left w:w="0" w:type="dxa"/>
              <w:bottom w:w="120" w:type="dxa"/>
              <w:right w:w="240" w:type="dxa"/>
            </w:tcMar>
            <w:hideMark/>
          </w:tcPr>
          <w:p w14:paraId="0BBD6748" w14:textId="77777777" w:rsidR="00634F16" w:rsidRPr="00634F16" w:rsidRDefault="00634F16" w:rsidP="00634F16">
            <w:pPr>
              <w:rPr>
                <w:b/>
                <w:bCs/>
                <w:sz w:val="18"/>
                <w:szCs w:val="18"/>
              </w:rPr>
            </w:pPr>
            <w:r w:rsidRPr="00634F16">
              <w:rPr>
                <w:b/>
                <w:bCs/>
                <w:sz w:val="18"/>
                <w:szCs w:val="18"/>
              </w:rPr>
              <w:t>Izvor financiranja</w:t>
            </w:r>
          </w:p>
        </w:tc>
        <w:tc>
          <w:tcPr>
            <w:tcW w:w="0" w:type="auto"/>
            <w:tcBorders>
              <w:bottom w:val="single" w:sz="6" w:space="0" w:color="DCDFE5"/>
            </w:tcBorders>
            <w:tcMar>
              <w:top w:w="120" w:type="dxa"/>
              <w:left w:w="0" w:type="dxa"/>
              <w:bottom w:w="120" w:type="dxa"/>
              <w:right w:w="240" w:type="dxa"/>
            </w:tcMar>
            <w:hideMark/>
          </w:tcPr>
          <w:p w14:paraId="7C2FE602" w14:textId="77777777" w:rsidR="00634F16" w:rsidRPr="00634F16" w:rsidRDefault="00634F16" w:rsidP="00634F16">
            <w:pPr>
              <w:rPr>
                <w:b/>
                <w:bCs/>
                <w:sz w:val="18"/>
                <w:szCs w:val="18"/>
              </w:rPr>
            </w:pPr>
            <w:r w:rsidRPr="00634F16">
              <w:rPr>
                <w:b/>
                <w:bCs/>
                <w:sz w:val="18"/>
                <w:szCs w:val="18"/>
              </w:rPr>
              <w:t>Iznos (€)</w:t>
            </w:r>
          </w:p>
        </w:tc>
        <w:tc>
          <w:tcPr>
            <w:tcW w:w="0" w:type="auto"/>
            <w:tcBorders>
              <w:bottom w:val="single" w:sz="6" w:space="0" w:color="DCDFE5"/>
            </w:tcBorders>
            <w:tcMar>
              <w:top w:w="120" w:type="dxa"/>
              <w:left w:w="0" w:type="dxa"/>
              <w:bottom w:w="120" w:type="dxa"/>
              <w:right w:w="0" w:type="dxa"/>
            </w:tcMar>
            <w:hideMark/>
          </w:tcPr>
          <w:p w14:paraId="5497C50D" w14:textId="77777777" w:rsidR="00634F16" w:rsidRPr="00634F16" w:rsidRDefault="00634F16" w:rsidP="00634F16">
            <w:pPr>
              <w:rPr>
                <w:b/>
                <w:bCs/>
                <w:sz w:val="18"/>
                <w:szCs w:val="18"/>
              </w:rPr>
            </w:pPr>
            <w:r w:rsidRPr="00634F16">
              <w:rPr>
                <w:b/>
                <w:bCs/>
                <w:sz w:val="18"/>
                <w:szCs w:val="18"/>
              </w:rPr>
              <w:t>Udio (%)</w:t>
            </w:r>
          </w:p>
        </w:tc>
      </w:tr>
      <w:tr w:rsidR="00634F16" w:rsidRPr="00634F16" w14:paraId="6078F207" w14:textId="77777777">
        <w:tc>
          <w:tcPr>
            <w:tcW w:w="0" w:type="auto"/>
            <w:tcBorders>
              <w:bottom w:val="single" w:sz="6" w:space="0" w:color="DCDFE5"/>
            </w:tcBorders>
            <w:tcMar>
              <w:top w:w="180" w:type="dxa"/>
              <w:left w:w="0" w:type="dxa"/>
              <w:bottom w:w="180" w:type="dxa"/>
              <w:right w:w="240" w:type="dxa"/>
            </w:tcMar>
            <w:hideMark/>
          </w:tcPr>
          <w:p w14:paraId="12F53F8B" w14:textId="77777777" w:rsidR="00634F16" w:rsidRPr="00634F16" w:rsidRDefault="00634F16" w:rsidP="00634F16">
            <w:pPr>
              <w:rPr>
                <w:sz w:val="18"/>
                <w:szCs w:val="18"/>
              </w:rPr>
            </w:pPr>
            <w:r w:rsidRPr="00634F16">
              <w:rPr>
                <w:rFonts w:ascii="Segoe UI Emoji" w:hAnsi="Segoe UI Emoji" w:cs="Segoe UI Emoji"/>
                <w:sz w:val="18"/>
                <w:szCs w:val="18"/>
              </w:rPr>
              <w:t>✅</w:t>
            </w:r>
            <w:r w:rsidRPr="00634F16">
              <w:rPr>
                <w:sz w:val="18"/>
                <w:szCs w:val="18"/>
              </w:rPr>
              <w:t> </w:t>
            </w:r>
            <w:r w:rsidRPr="00634F16">
              <w:rPr>
                <w:b/>
                <w:bCs/>
                <w:sz w:val="18"/>
                <w:szCs w:val="18"/>
              </w:rPr>
              <w:t>1. OPĆI PRIHODI I PRIMICI</w:t>
            </w:r>
          </w:p>
        </w:tc>
        <w:tc>
          <w:tcPr>
            <w:tcW w:w="0" w:type="auto"/>
            <w:tcBorders>
              <w:bottom w:val="single" w:sz="6" w:space="0" w:color="DCDFE5"/>
            </w:tcBorders>
            <w:tcMar>
              <w:top w:w="180" w:type="dxa"/>
              <w:left w:w="0" w:type="dxa"/>
              <w:bottom w:w="180" w:type="dxa"/>
              <w:right w:w="240" w:type="dxa"/>
            </w:tcMar>
            <w:hideMark/>
          </w:tcPr>
          <w:p w14:paraId="659360EE" w14:textId="77777777" w:rsidR="00634F16" w:rsidRPr="00634F16" w:rsidRDefault="00634F16" w:rsidP="00634F16">
            <w:pPr>
              <w:rPr>
                <w:sz w:val="18"/>
                <w:szCs w:val="18"/>
              </w:rPr>
            </w:pPr>
            <w:r w:rsidRPr="00634F16">
              <w:rPr>
                <w:b/>
                <w:bCs/>
                <w:sz w:val="18"/>
                <w:szCs w:val="18"/>
              </w:rPr>
              <w:t>1.686,37</w:t>
            </w:r>
          </w:p>
        </w:tc>
        <w:tc>
          <w:tcPr>
            <w:tcW w:w="0" w:type="auto"/>
            <w:tcBorders>
              <w:bottom w:val="single" w:sz="6" w:space="0" w:color="DCDFE5"/>
            </w:tcBorders>
            <w:tcMar>
              <w:top w:w="180" w:type="dxa"/>
              <w:left w:w="0" w:type="dxa"/>
              <w:bottom w:w="180" w:type="dxa"/>
              <w:right w:w="0" w:type="dxa"/>
            </w:tcMar>
            <w:hideMark/>
          </w:tcPr>
          <w:p w14:paraId="61FA7575" w14:textId="77777777" w:rsidR="00634F16" w:rsidRPr="00634F16" w:rsidRDefault="00634F16" w:rsidP="00634F16">
            <w:pPr>
              <w:rPr>
                <w:sz w:val="18"/>
                <w:szCs w:val="18"/>
              </w:rPr>
            </w:pPr>
            <w:r w:rsidRPr="00634F16">
              <w:rPr>
                <w:b/>
                <w:bCs/>
                <w:sz w:val="18"/>
                <w:szCs w:val="18"/>
              </w:rPr>
              <w:t>75,98%</w:t>
            </w:r>
          </w:p>
        </w:tc>
      </w:tr>
      <w:tr w:rsidR="00634F16" w:rsidRPr="00634F16" w14:paraId="70A335DD" w14:textId="77777777">
        <w:tc>
          <w:tcPr>
            <w:tcW w:w="0" w:type="auto"/>
            <w:tcBorders>
              <w:bottom w:val="single" w:sz="6" w:space="0" w:color="DCDFE5"/>
            </w:tcBorders>
            <w:tcMar>
              <w:top w:w="180" w:type="dxa"/>
              <w:left w:w="0" w:type="dxa"/>
              <w:bottom w:w="180" w:type="dxa"/>
              <w:right w:w="240" w:type="dxa"/>
            </w:tcMar>
            <w:hideMark/>
          </w:tcPr>
          <w:p w14:paraId="1AE9DF4C" w14:textId="77777777" w:rsidR="00634F16" w:rsidRPr="00634F16" w:rsidRDefault="00634F16" w:rsidP="00634F16">
            <w:pPr>
              <w:rPr>
                <w:sz w:val="18"/>
                <w:szCs w:val="18"/>
              </w:rPr>
            </w:pPr>
            <w:r w:rsidRPr="00634F16">
              <w:rPr>
                <w:rFonts w:ascii="Segoe UI Emoji" w:hAnsi="Segoe UI Emoji" w:cs="Segoe UI Emoji"/>
                <w:sz w:val="18"/>
                <w:szCs w:val="18"/>
              </w:rPr>
              <w:t>✅</w:t>
            </w:r>
            <w:r w:rsidRPr="00634F16">
              <w:rPr>
                <w:sz w:val="18"/>
                <w:szCs w:val="18"/>
              </w:rPr>
              <w:t> </w:t>
            </w:r>
            <w:r w:rsidRPr="00634F16">
              <w:rPr>
                <w:b/>
                <w:bCs/>
                <w:sz w:val="18"/>
                <w:szCs w:val="18"/>
              </w:rPr>
              <w:t>2. VLASTITI PRIHODI</w:t>
            </w:r>
          </w:p>
        </w:tc>
        <w:tc>
          <w:tcPr>
            <w:tcW w:w="0" w:type="auto"/>
            <w:tcBorders>
              <w:bottom w:val="single" w:sz="6" w:space="0" w:color="DCDFE5"/>
            </w:tcBorders>
            <w:tcMar>
              <w:top w:w="180" w:type="dxa"/>
              <w:left w:w="0" w:type="dxa"/>
              <w:bottom w:w="180" w:type="dxa"/>
              <w:right w:w="240" w:type="dxa"/>
            </w:tcMar>
            <w:hideMark/>
          </w:tcPr>
          <w:p w14:paraId="1928178A" w14:textId="77777777" w:rsidR="00634F16" w:rsidRPr="00634F16" w:rsidRDefault="00634F16" w:rsidP="00634F16">
            <w:pPr>
              <w:rPr>
                <w:sz w:val="18"/>
                <w:szCs w:val="18"/>
              </w:rPr>
            </w:pPr>
            <w:r w:rsidRPr="00634F16">
              <w:rPr>
                <w:b/>
                <w:bCs/>
                <w:sz w:val="18"/>
                <w:szCs w:val="18"/>
              </w:rPr>
              <w:t>533,21</w:t>
            </w:r>
          </w:p>
        </w:tc>
        <w:tc>
          <w:tcPr>
            <w:tcW w:w="0" w:type="auto"/>
            <w:tcBorders>
              <w:bottom w:val="single" w:sz="6" w:space="0" w:color="DCDFE5"/>
            </w:tcBorders>
            <w:tcMar>
              <w:top w:w="180" w:type="dxa"/>
              <w:left w:w="0" w:type="dxa"/>
              <w:bottom w:w="180" w:type="dxa"/>
              <w:right w:w="0" w:type="dxa"/>
            </w:tcMar>
            <w:hideMark/>
          </w:tcPr>
          <w:p w14:paraId="321BD410" w14:textId="77777777" w:rsidR="00634F16" w:rsidRPr="00634F16" w:rsidRDefault="00634F16" w:rsidP="00634F16">
            <w:pPr>
              <w:rPr>
                <w:sz w:val="18"/>
                <w:szCs w:val="18"/>
              </w:rPr>
            </w:pPr>
            <w:r w:rsidRPr="00634F16">
              <w:rPr>
                <w:b/>
                <w:bCs/>
                <w:sz w:val="18"/>
                <w:szCs w:val="18"/>
              </w:rPr>
              <w:t>24,02%</w:t>
            </w:r>
          </w:p>
        </w:tc>
      </w:tr>
      <w:tr w:rsidR="00634F16" w:rsidRPr="00634F16" w14:paraId="4F28C2EC" w14:textId="77777777">
        <w:tc>
          <w:tcPr>
            <w:tcW w:w="0" w:type="auto"/>
            <w:tcBorders>
              <w:bottom w:val="nil"/>
            </w:tcBorders>
            <w:tcMar>
              <w:top w:w="180" w:type="dxa"/>
              <w:left w:w="0" w:type="dxa"/>
              <w:bottom w:w="180" w:type="dxa"/>
              <w:right w:w="240" w:type="dxa"/>
            </w:tcMar>
            <w:hideMark/>
          </w:tcPr>
          <w:p w14:paraId="40564723" w14:textId="77777777" w:rsidR="00634F16" w:rsidRPr="00634F16" w:rsidRDefault="00634F16" w:rsidP="00634F16">
            <w:pPr>
              <w:rPr>
                <w:sz w:val="18"/>
                <w:szCs w:val="18"/>
              </w:rPr>
            </w:pPr>
            <w:r w:rsidRPr="00634F16">
              <w:rPr>
                <w:b/>
                <w:bCs/>
                <w:sz w:val="18"/>
                <w:szCs w:val="18"/>
              </w:rPr>
              <w:t>UKUPNO</w:t>
            </w:r>
          </w:p>
        </w:tc>
        <w:tc>
          <w:tcPr>
            <w:tcW w:w="0" w:type="auto"/>
            <w:tcBorders>
              <w:bottom w:val="nil"/>
            </w:tcBorders>
            <w:tcMar>
              <w:top w:w="180" w:type="dxa"/>
              <w:left w:w="0" w:type="dxa"/>
              <w:bottom w:w="180" w:type="dxa"/>
              <w:right w:w="240" w:type="dxa"/>
            </w:tcMar>
            <w:hideMark/>
          </w:tcPr>
          <w:p w14:paraId="48F3DA43" w14:textId="77777777" w:rsidR="00634F16" w:rsidRPr="00634F16" w:rsidRDefault="00634F16" w:rsidP="00634F16">
            <w:pPr>
              <w:rPr>
                <w:sz w:val="18"/>
                <w:szCs w:val="18"/>
              </w:rPr>
            </w:pPr>
            <w:r w:rsidRPr="00634F16">
              <w:rPr>
                <w:b/>
                <w:bCs/>
                <w:sz w:val="18"/>
                <w:szCs w:val="18"/>
              </w:rPr>
              <w:t>2.219,58</w:t>
            </w:r>
          </w:p>
        </w:tc>
        <w:tc>
          <w:tcPr>
            <w:tcW w:w="0" w:type="auto"/>
            <w:tcBorders>
              <w:bottom w:val="nil"/>
            </w:tcBorders>
            <w:tcMar>
              <w:top w:w="180" w:type="dxa"/>
              <w:left w:w="0" w:type="dxa"/>
              <w:bottom w:w="180" w:type="dxa"/>
              <w:right w:w="0" w:type="dxa"/>
            </w:tcMar>
            <w:hideMark/>
          </w:tcPr>
          <w:p w14:paraId="4E09204B" w14:textId="77777777" w:rsidR="00634F16" w:rsidRPr="00634F16" w:rsidRDefault="00634F16" w:rsidP="00634F16">
            <w:pPr>
              <w:rPr>
                <w:sz w:val="18"/>
                <w:szCs w:val="18"/>
              </w:rPr>
            </w:pPr>
            <w:r w:rsidRPr="00634F16">
              <w:rPr>
                <w:b/>
                <w:bCs/>
                <w:sz w:val="18"/>
                <w:szCs w:val="18"/>
              </w:rPr>
              <w:t>100,00%</w:t>
            </w:r>
          </w:p>
        </w:tc>
      </w:tr>
    </w:tbl>
    <w:p w14:paraId="69CAC43A" w14:textId="77777777" w:rsidR="00634F16" w:rsidRPr="00634F16" w:rsidRDefault="00634F16" w:rsidP="00634F16">
      <w:pPr>
        <w:rPr>
          <w:sz w:val="18"/>
          <w:szCs w:val="18"/>
        </w:rPr>
      </w:pPr>
      <w:r w:rsidRPr="00634F16">
        <w:rPr>
          <w:sz w:val="18"/>
          <w:szCs w:val="18"/>
        </w:rPr>
        <w:pict w14:anchorId="4C2214D8">
          <v:rect id="_x0000_i1025" style="width:0;height:.75pt" o:hralign="center" o:hrstd="t" o:hr="t" fillcolor="#a0a0a0" stroked="f"/>
        </w:pict>
      </w:r>
    </w:p>
    <w:p w14:paraId="22D6E5E0" w14:textId="77777777" w:rsidR="00634F16" w:rsidRPr="00634F16" w:rsidRDefault="00634F16" w:rsidP="00634F16">
      <w:pPr>
        <w:rPr>
          <w:b/>
          <w:bCs/>
          <w:sz w:val="18"/>
          <w:szCs w:val="18"/>
        </w:rPr>
      </w:pPr>
      <w:r w:rsidRPr="00634F16">
        <w:rPr>
          <w:b/>
          <w:bCs/>
          <w:sz w:val="18"/>
          <w:szCs w:val="18"/>
        </w:rPr>
        <w:t>Objašnjenje</w:t>
      </w:r>
    </w:p>
    <w:p w14:paraId="293D7F12" w14:textId="77777777" w:rsidR="00634F16" w:rsidRPr="00634F16" w:rsidRDefault="00634F16" w:rsidP="00634F16">
      <w:pPr>
        <w:numPr>
          <w:ilvl w:val="0"/>
          <w:numId w:val="2"/>
        </w:numPr>
        <w:rPr>
          <w:sz w:val="18"/>
          <w:szCs w:val="18"/>
        </w:rPr>
      </w:pPr>
      <w:r w:rsidRPr="00634F16">
        <w:rPr>
          <w:b/>
          <w:bCs/>
          <w:sz w:val="18"/>
          <w:szCs w:val="18"/>
        </w:rPr>
        <w:t>1. OPĆI PRIHODI I PRIMICI</w:t>
      </w:r>
      <w:r w:rsidRPr="00634F16">
        <w:rPr>
          <w:sz w:val="18"/>
          <w:szCs w:val="18"/>
        </w:rPr>
        <w:t>: Predstavljaju primarni izvor za sanaciju ovog dijela manjka. To su sredstva koja obično dolaze iz proračuna osnivača ili općih poreznih prihoda.</w:t>
      </w:r>
    </w:p>
    <w:p w14:paraId="37408DF6" w14:textId="77777777" w:rsidR="00634F16" w:rsidRPr="00634F16" w:rsidRDefault="00634F16" w:rsidP="00634F16">
      <w:pPr>
        <w:numPr>
          <w:ilvl w:val="0"/>
          <w:numId w:val="2"/>
        </w:numPr>
        <w:rPr>
          <w:sz w:val="18"/>
          <w:szCs w:val="18"/>
        </w:rPr>
      </w:pPr>
      <w:r w:rsidRPr="00634F16">
        <w:rPr>
          <w:b/>
          <w:bCs/>
          <w:sz w:val="18"/>
          <w:szCs w:val="18"/>
        </w:rPr>
        <w:t>2. VLASTITI PRIHODI</w:t>
      </w:r>
      <w:r w:rsidRPr="00634F16">
        <w:rPr>
          <w:sz w:val="18"/>
          <w:szCs w:val="18"/>
        </w:rPr>
        <w:t>: Sredstva ostvarena obavljanjem osnovne i ostale djelatnosti na tržištu. U ovom slučaju, oni pokrivaju gotovo četvrtinu navedenog iznosa.</w:t>
      </w:r>
    </w:p>
    <w:p w14:paraId="3DB557B5" w14:textId="77777777" w:rsidR="0043400B" w:rsidRPr="00634F16" w:rsidRDefault="0043400B">
      <w:pPr>
        <w:rPr>
          <w:sz w:val="18"/>
          <w:szCs w:val="18"/>
        </w:rPr>
      </w:pPr>
    </w:p>
    <w:p w14:paraId="70F28408" w14:textId="77777777" w:rsidR="0043400B"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198F40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C01979"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9E0675"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6A85A1"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954422"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63B39B"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EE0052" w14:textId="77777777" w:rsidR="0043400B" w:rsidRDefault="00000000">
            <w:pPr>
              <w:keepNext/>
              <w:keepLines/>
              <w:spacing w:after="0" w:line="240" w:lineRule="auto"/>
              <w:jc w:val="center"/>
            </w:pPr>
            <w:r>
              <w:rPr>
                <w:b/>
                <w:sz w:val="18"/>
              </w:rPr>
              <w:t>Indeks (%)</w:t>
            </w:r>
          </w:p>
        </w:tc>
      </w:tr>
      <w:tr w:rsidR="0043400B" w14:paraId="46FE8BB3" w14:textId="77777777">
        <w:tblPrEx>
          <w:tblCellMar>
            <w:top w:w="0" w:type="dxa"/>
            <w:bottom w:w="0" w:type="dxa"/>
          </w:tblCellMar>
        </w:tblPrEx>
        <w:trPr>
          <w:cantSplit/>
          <w:trHeight w:val="560"/>
        </w:trPr>
        <w:tc>
          <w:tcPr>
            <w:tcW w:w="700" w:type="dxa"/>
            <w:tcMar>
              <w:top w:w="0" w:type="dxa"/>
              <w:bottom w:w="0" w:type="dxa"/>
            </w:tcMar>
            <w:vAlign w:val="center"/>
          </w:tcPr>
          <w:p w14:paraId="27B4D6DB" w14:textId="77777777" w:rsidR="0043400B" w:rsidRDefault="00000000">
            <w:pPr>
              <w:keepNext/>
              <w:keepLines/>
              <w:spacing w:after="0" w:line="240" w:lineRule="auto"/>
            </w:pPr>
            <w:r>
              <w:rPr>
                <w:sz w:val="18"/>
              </w:rPr>
              <w:t>11</w:t>
            </w:r>
          </w:p>
        </w:tc>
        <w:tc>
          <w:tcPr>
            <w:tcW w:w="3180" w:type="dxa"/>
            <w:tcMar>
              <w:top w:w="0" w:type="dxa"/>
              <w:bottom w:w="0" w:type="dxa"/>
            </w:tcMar>
            <w:vAlign w:val="center"/>
          </w:tcPr>
          <w:p w14:paraId="5FA34AC0" w14:textId="77777777" w:rsidR="0043400B"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167794A0" w14:textId="77777777" w:rsidR="0043400B" w:rsidRDefault="00000000">
            <w:pPr>
              <w:keepNext/>
              <w:keepLines/>
              <w:spacing w:after="0" w:line="240" w:lineRule="auto"/>
            </w:pPr>
            <w:r>
              <w:rPr>
                <w:sz w:val="18"/>
              </w:rPr>
              <w:t>11K</w:t>
            </w:r>
          </w:p>
        </w:tc>
        <w:tc>
          <w:tcPr>
            <w:tcW w:w="1860" w:type="dxa"/>
            <w:tcMar>
              <w:top w:w="0" w:type="dxa"/>
              <w:bottom w:w="0" w:type="dxa"/>
            </w:tcMar>
            <w:vAlign w:val="center"/>
          </w:tcPr>
          <w:p w14:paraId="048D6EAF" w14:textId="77777777" w:rsidR="0043400B" w:rsidRDefault="00000000">
            <w:pPr>
              <w:keepNext/>
              <w:keepLines/>
              <w:spacing w:after="0" w:line="240" w:lineRule="auto"/>
              <w:jc w:val="right"/>
            </w:pPr>
            <w:r>
              <w:rPr>
                <w:sz w:val="18"/>
              </w:rPr>
              <w:t>37,72</w:t>
            </w:r>
          </w:p>
        </w:tc>
        <w:tc>
          <w:tcPr>
            <w:tcW w:w="1860" w:type="dxa"/>
            <w:tcMar>
              <w:top w:w="0" w:type="dxa"/>
              <w:bottom w:w="0" w:type="dxa"/>
            </w:tcMar>
            <w:vAlign w:val="center"/>
          </w:tcPr>
          <w:p w14:paraId="40DBD7A9" w14:textId="77777777" w:rsidR="0043400B" w:rsidRDefault="00000000">
            <w:pPr>
              <w:keepNext/>
              <w:keepLines/>
              <w:spacing w:after="0" w:line="240" w:lineRule="auto"/>
              <w:jc w:val="right"/>
            </w:pPr>
            <w:r>
              <w:rPr>
                <w:sz w:val="18"/>
              </w:rPr>
              <w:t>28,22</w:t>
            </w:r>
          </w:p>
        </w:tc>
        <w:tc>
          <w:tcPr>
            <w:tcW w:w="700" w:type="dxa"/>
            <w:tcMar>
              <w:top w:w="0" w:type="dxa"/>
              <w:bottom w:w="0" w:type="dxa"/>
            </w:tcMar>
            <w:vAlign w:val="center"/>
          </w:tcPr>
          <w:p w14:paraId="4CED4F0D" w14:textId="77777777" w:rsidR="0043400B" w:rsidRDefault="00000000">
            <w:pPr>
              <w:keepNext/>
              <w:keepLines/>
              <w:spacing w:after="0" w:line="240" w:lineRule="auto"/>
              <w:jc w:val="right"/>
            </w:pPr>
            <w:r>
              <w:rPr>
                <w:sz w:val="18"/>
              </w:rPr>
              <w:t>74,8</w:t>
            </w:r>
          </w:p>
        </w:tc>
      </w:tr>
    </w:tbl>
    <w:p w14:paraId="2E423409" w14:textId="77777777" w:rsidR="0043400B" w:rsidRDefault="0043400B">
      <w:pPr>
        <w:spacing w:after="0"/>
      </w:pPr>
    </w:p>
    <w:p w14:paraId="3CD30739" w14:textId="77777777" w:rsidR="0043400B" w:rsidRDefault="00000000">
      <w:r>
        <w:t>Stanje na blagajni je ostalo iz razloga što se dogodila situacija da su korisnici uplaćivali članarine sve do kraja godine te se nije stiglo predati u NP. </w:t>
      </w:r>
    </w:p>
    <w:p w14:paraId="06C8FA44" w14:textId="77777777" w:rsidR="0043400B" w:rsidRDefault="0043400B"/>
    <w:p w14:paraId="6735AD09" w14:textId="77777777" w:rsidR="0043400B" w:rsidRDefault="00000000">
      <w:pPr>
        <w:keepNext/>
        <w:spacing w:line="240" w:lineRule="auto"/>
        <w:jc w:val="center"/>
      </w:pPr>
      <w:r>
        <w:rPr>
          <w:b/>
          <w:sz w:val="28"/>
        </w:rPr>
        <w:t>Bilanca</w:t>
      </w:r>
    </w:p>
    <w:p w14:paraId="113C242A" w14:textId="77777777" w:rsidR="0043400B"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7441A4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441654"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1981C4"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93E93D"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678301" w14:textId="77777777" w:rsidR="0043400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199FE6" w14:textId="77777777" w:rsidR="0043400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17E890" w14:textId="77777777" w:rsidR="0043400B" w:rsidRDefault="00000000">
            <w:pPr>
              <w:keepNext/>
              <w:keepLines/>
              <w:spacing w:after="0" w:line="240" w:lineRule="auto"/>
              <w:jc w:val="center"/>
            </w:pPr>
            <w:r>
              <w:rPr>
                <w:b/>
                <w:sz w:val="18"/>
              </w:rPr>
              <w:t>Indeks (%)</w:t>
            </w:r>
          </w:p>
        </w:tc>
      </w:tr>
      <w:tr w:rsidR="0043400B" w14:paraId="0838B038" w14:textId="77777777">
        <w:tblPrEx>
          <w:tblCellMar>
            <w:top w:w="0" w:type="dxa"/>
            <w:bottom w:w="0" w:type="dxa"/>
          </w:tblCellMar>
        </w:tblPrEx>
        <w:trPr>
          <w:cantSplit/>
          <w:trHeight w:val="560"/>
        </w:trPr>
        <w:tc>
          <w:tcPr>
            <w:tcW w:w="700" w:type="dxa"/>
            <w:tcMar>
              <w:top w:w="0" w:type="dxa"/>
              <w:bottom w:w="0" w:type="dxa"/>
            </w:tcMar>
            <w:vAlign w:val="center"/>
          </w:tcPr>
          <w:p w14:paraId="153E2724" w14:textId="77777777" w:rsidR="0043400B" w:rsidRDefault="00000000">
            <w:pPr>
              <w:keepNext/>
              <w:keepLines/>
              <w:spacing w:after="0" w:line="240" w:lineRule="auto"/>
            </w:pPr>
            <w:r>
              <w:rPr>
                <w:sz w:val="18"/>
              </w:rPr>
              <w:t>0221</w:t>
            </w:r>
          </w:p>
        </w:tc>
        <w:tc>
          <w:tcPr>
            <w:tcW w:w="3180" w:type="dxa"/>
            <w:tcMar>
              <w:top w:w="0" w:type="dxa"/>
              <w:bottom w:w="0" w:type="dxa"/>
            </w:tcMar>
            <w:vAlign w:val="center"/>
          </w:tcPr>
          <w:p w14:paraId="0C7042F5" w14:textId="77777777" w:rsidR="0043400B"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49C5714B" w14:textId="77777777" w:rsidR="0043400B" w:rsidRDefault="00000000">
            <w:pPr>
              <w:keepNext/>
              <w:keepLines/>
              <w:spacing w:after="0" w:line="240" w:lineRule="auto"/>
            </w:pPr>
            <w:r>
              <w:rPr>
                <w:sz w:val="18"/>
              </w:rPr>
              <w:t>0221</w:t>
            </w:r>
          </w:p>
        </w:tc>
        <w:tc>
          <w:tcPr>
            <w:tcW w:w="1860" w:type="dxa"/>
            <w:tcMar>
              <w:top w:w="0" w:type="dxa"/>
              <w:bottom w:w="0" w:type="dxa"/>
            </w:tcMar>
            <w:vAlign w:val="center"/>
          </w:tcPr>
          <w:p w14:paraId="36981E3E" w14:textId="77777777" w:rsidR="0043400B" w:rsidRDefault="00000000">
            <w:pPr>
              <w:keepNext/>
              <w:keepLines/>
              <w:spacing w:after="0" w:line="240" w:lineRule="auto"/>
              <w:jc w:val="right"/>
            </w:pPr>
            <w:r>
              <w:rPr>
                <w:sz w:val="18"/>
              </w:rPr>
              <w:t>6.895,98</w:t>
            </w:r>
          </w:p>
        </w:tc>
        <w:tc>
          <w:tcPr>
            <w:tcW w:w="1860" w:type="dxa"/>
            <w:tcMar>
              <w:top w:w="0" w:type="dxa"/>
              <w:bottom w:w="0" w:type="dxa"/>
            </w:tcMar>
            <w:vAlign w:val="center"/>
          </w:tcPr>
          <w:p w14:paraId="04CCFBC1" w14:textId="77777777" w:rsidR="0043400B" w:rsidRDefault="00000000">
            <w:pPr>
              <w:keepNext/>
              <w:keepLines/>
              <w:spacing w:after="0" w:line="240" w:lineRule="auto"/>
              <w:jc w:val="right"/>
            </w:pPr>
            <w:r>
              <w:rPr>
                <w:sz w:val="18"/>
              </w:rPr>
              <w:t>17.055,24</w:t>
            </w:r>
          </w:p>
        </w:tc>
        <w:tc>
          <w:tcPr>
            <w:tcW w:w="700" w:type="dxa"/>
            <w:tcMar>
              <w:top w:w="0" w:type="dxa"/>
              <w:bottom w:w="0" w:type="dxa"/>
            </w:tcMar>
            <w:vAlign w:val="center"/>
          </w:tcPr>
          <w:p w14:paraId="46E2DCAD" w14:textId="77777777" w:rsidR="0043400B" w:rsidRDefault="00000000">
            <w:pPr>
              <w:keepNext/>
              <w:keepLines/>
              <w:spacing w:after="0" w:line="240" w:lineRule="auto"/>
              <w:jc w:val="right"/>
            </w:pPr>
            <w:r>
              <w:rPr>
                <w:sz w:val="18"/>
              </w:rPr>
              <w:t>247,3</w:t>
            </w:r>
          </w:p>
        </w:tc>
      </w:tr>
    </w:tbl>
    <w:p w14:paraId="01CCFFE2" w14:textId="77777777" w:rsidR="0043400B" w:rsidRDefault="0043400B">
      <w:pPr>
        <w:spacing w:after="0"/>
      </w:pPr>
    </w:p>
    <w:p w14:paraId="641ECFFA" w14:textId="77777777" w:rsidR="00634F16" w:rsidRPr="00634F16" w:rsidRDefault="00634F16" w:rsidP="00634F16">
      <w:pPr>
        <w:spacing w:line="240" w:lineRule="auto"/>
        <w:rPr>
          <w:b/>
          <w:bCs/>
          <w:sz w:val="18"/>
          <w:szCs w:val="18"/>
        </w:rPr>
      </w:pPr>
      <w:r w:rsidRPr="00634F16">
        <w:rPr>
          <w:b/>
          <w:bCs/>
          <w:sz w:val="18"/>
          <w:szCs w:val="18"/>
        </w:rPr>
        <w:t>Specifikacija novonabavljene opreme u 2025. godini</w:t>
      </w:r>
    </w:p>
    <w:tbl>
      <w:tblPr>
        <w:tblW w:w="9780" w:type="dxa"/>
        <w:tblCellMar>
          <w:top w:w="15" w:type="dxa"/>
          <w:left w:w="15" w:type="dxa"/>
          <w:bottom w:w="15" w:type="dxa"/>
          <w:right w:w="15" w:type="dxa"/>
        </w:tblCellMar>
        <w:tblLook w:val="04A0" w:firstRow="1" w:lastRow="0" w:firstColumn="1" w:lastColumn="0" w:noHBand="0" w:noVBand="1"/>
      </w:tblPr>
      <w:tblGrid>
        <w:gridCol w:w="2803"/>
        <w:gridCol w:w="2706"/>
        <w:gridCol w:w="1343"/>
        <w:gridCol w:w="2928"/>
      </w:tblGrid>
      <w:tr w:rsidR="00634F16" w:rsidRPr="00634F16" w14:paraId="47674190" w14:textId="77777777">
        <w:tc>
          <w:tcPr>
            <w:tcW w:w="0" w:type="auto"/>
            <w:tcBorders>
              <w:bottom w:val="single" w:sz="6" w:space="0" w:color="DCDFE5"/>
            </w:tcBorders>
            <w:tcMar>
              <w:top w:w="120" w:type="dxa"/>
              <w:left w:w="0" w:type="dxa"/>
              <w:bottom w:w="120" w:type="dxa"/>
              <w:right w:w="240" w:type="dxa"/>
            </w:tcMar>
            <w:hideMark/>
          </w:tcPr>
          <w:p w14:paraId="0D1D97BE" w14:textId="77777777" w:rsidR="00634F16" w:rsidRPr="00634F16" w:rsidRDefault="00634F16" w:rsidP="00634F16">
            <w:pPr>
              <w:spacing w:line="240" w:lineRule="auto"/>
              <w:rPr>
                <w:b/>
                <w:bCs/>
                <w:sz w:val="18"/>
                <w:szCs w:val="18"/>
              </w:rPr>
            </w:pPr>
            <w:r w:rsidRPr="00634F16">
              <w:rPr>
                <w:b/>
                <w:bCs/>
                <w:sz w:val="18"/>
                <w:szCs w:val="18"/>
              </w:rPr>
              <w:t>Naziv stavke</w:t>
            </w:r>
          </w:p>
        </w:tc>
        <w:tc>
          <w:tcPr>
            <w:tcW w:w="0" w:type="auto"/>
            <w:tcBorders>
              <w:bottom w:val="single" w:sz="6" w:space="0" w:color="DCDFE5"/>
            </w:tcBorders>
            <w:tcMar>
              <w:top w:w="120" w:type="dxa"/>
              <w:left w:w="0" w:type="dxa"/>
              <w:bottom w:w="120" w:type="dxa"/>
              <w:right w:w="240" w:type="dxa"/>
            </w:tcMar>
            <w:hideMark/>
          </w:tcPr>
          <w:p w14:paraId="43531968" w14:textId="77777777" w:rsidR="00634F16" w:rsidRPr="00634F16" w:rsidRDefault="00634F16" w:rsidP="00634F16">
            <w:pPr>
              <w:spacing w:line="240" w:lineRule="auto"/>
              <w:rPr>
                <w:b/>
                <w:bCs/>
                <w:sz w:val="18"/>
                <w:szCs w:val="18"/>
              </w:rPr>
            </w:pPr>
            <w:r w:rsidRPr="00634F16">
              <w:rPr>
                <w:b/>
                <w:bCs/>
                <w:sz w:val="18"/>
                <w:szCs w:val="18"/>
              </w:rPr>
              <w:t>Dimenzije / Specifikacije</w:t>
            </w:r>
          </w:p>
        </w:tc>
        <w:tc>
          <w:tcPr>
            <w:tcW w:w="0" w:type="auto"/>
            <w:tcBorders>
              <w:bottom w:val="single" w:sz="6" w:space="0" w:color="DCDFE5"/>
            </w:tcBorders>
            <w:tcMar>
              <w:top w:w="120" w:type="dxa"/>
              <w:left w:w="0" w:type="dxa"/>
              <w:bottom w:w="120" w:type="dxa"/>
              <w:right w:w="240" w:type="dxa"/>
            </w:tcMar>
            <w:hideMark/>
          </w:tcPr>
          <w:p w14:paraId="66028C43" w14:textId="77777777" w:rsidR="00634F16" w:rsidRPr="00634F16" w:rsidRDefault="00634F16" w:rsidP="00634F16">
            <w:pPr>
              <w:spacing w:line="240" w:lineRule="auto"/>
              <w:rPr>
                <w:b/>
                <w:bCs/>
                <w:sz w:val="18"/>
                <w:szCs w:val="18"/>
              </w:rPr>
            </w:pPr>
            <w:r w:rsidRPr="00634F16">
              <w:rPr>
                <w:b/>
                <w:bCs/>
                <w:sz w:val="18"/>
                <w:szCs w:val="18"/>
              </w:rPr>
              <w:t>Količina (kom)</w:t>
            </w:r>
          </w:p>
        </w:tc>
        <w:tc>
          <w:tcPr>
            <w:tcW w:w="0" w:type="auto"/>
            <w:tcBorders>
              <w:bottom w:val="single" w:sz="6" w:space="0" w:color="DCDFE5"/>
            </w:tcBorders>
            <w:tcMar>
              <w:top w:w="120" w:type="dxa"/>
              <w:left w:w="0" w:type="dxa"/>
              <w:bottom w:w="120" w:type="dxa"/>
              <w:right w:w="0" w:type="dxa"/>
            </w:tcMar>
            <w:hideMark/>
          </w:tcPr>
          <w:p w14:paraId="0ACBCC3F" w14:textId="77777777" w:rsidR="00634F16" w:rsidRPr="00634F16" w:rsidRDefault="00634F16" w:rsidP="00634F16">
            <w:pPr>
              <w:spacing w:line="240" w:lineRule="auto"/>
              <w:rPr>
                <w:b/>
                <w:bCs/>
                <w:sz w:val="18"/>
                <w:szCs w:val="18"/>
              </w:rPr>
            </w:pPr>
            <w:r w:rsidRPr="00634F16">
              <w:rPr>
                <w:b/>
                <w:bCs/>
                <w:sz w:val="18"/>
                <w:szCs w:val="18"/>
              </w:rPr>
              <w:t>Procijenjena kategorija unosa u inventar</w:t>
            </w:r>
          </w:p>
        </w:tc>
      </w:tr>
      <w:tr w:rsidR="00634F16" w:rsidRPr="00634F16" w14:paraId="2DD1059C" w14:textId="77777777">
        <w:tc>
          <w:tcPr>
            <w:tcW w:w="0" w:type="auto"/>
            <w:tcBorders>
              <w:bottom w:val="single" w:sz="6" w:space="0" w:color="DCDFE5"/>
            </w:tcBorders>
            <w:tcMar>
              <w:top w:w="180" w:type="dxa"/>
              <w:left w:w="0" w:type="dxa"/>
              <w:bottom w:w="180" w:type="dxa"/>
              <w:right w:w="240" w:type="dxa"/>
            </w:tcMar>
            <w:hideMark/>
          </w:tcPr>
          <w:p w14:paraId="5F4AFF63" w14:textId="77777777" w:rsidR="00634F16" w:rsidRPr="00634F16" w:rsidRDefault="00634F16" w:rsidP="00634F16">
            <w:pPr>
              <w:spacing w:line="240" w:lineRule="auto"/>
              <w:rPr>
                <w:sz w:val="18"/>
                <w:szCs w:val="18"/>
              </w:rPr>
            </w:pPr>
            <w:r w:rsidRPr="00634F16">
              <w:rPr>
                <w:b/>
                <w:bCs/>
                <w:sz w:val="18"/>
                <w:szCs w:val="18"/>
              </w:rPr>
              <w:t>Preklopni stol</w:t>
            </w:r>
          </w:p>
        </w:tc>
        <w:tc>
          <w:tcPr>
            <w:tcW w:w="0" w:type="auto"/>
            <w:tcBorders>
              <w:bottom w:val="single" w:sz="6" w:space="0" w:color="DCDFE5"/>
            </w:tcBorders>
            <w:tcMar>
              <w:top w:w="180" w:type="dxa"/>
              <w:left w:w="0" w:type="dxa"/>
              <w:bottom w:w="180" w:type="dxa"/>
              <w:right w:w="240" w:type="dxa"/>
            </w:tcMar>
            <w:hideMark/>
          </w:tcPr>
          <w:p w14:paraId="5B345D25" w14:textId="77777777" w:rsidR="00634F16" w:rsidRPr="00634F16" w:rsidRDefault="00634F16" w:rsidP="00634F16">
            <w:pPr>
              <w:spacing w:line="240" w:lineRule="auto"/>
              <w:rPr>
                <w:sz w:val="18"/>
                <w:szCs w:val="18"/>
              </w:rPr>
            </w:pPr>
            <w:r w:rsidRPr="00634F16">
              <w:rPr>
                <w:sz w:val="18"/>
                <w:szCs w:val="18"/>
              </w:rPr>
              <w:t>200x100 cm, konstrukcija nogu crna</w:t>
            </w:r>
          </w:p>
        </w:tc>
        <w:tc>
          <w:tcPr>
            <w:tcW w:w="0" w:type="auto"/>
            <w:tcBorders>
              <w:bottom w:val="single" w:sz="6" w:space="0" w:color="DCDFE5"/>
            </w:tcBorders>
            <w:tcMar>
              <w:top w:w="180" w:type="dxa"/>
              <w:left w:w="0" w:type="dxa"/>
              <w:bottom w:w="180" w:type="dxa"/>
              <w:right w:w="240" w:type="dxa"/>
            </w:tcMar>
            <w:hideMark/>
          </w:tcPr>
          <w:p w14:paraId="02E628AA" w14:textId="77777777" w:rsidR="00634F16" w:rsidRPr="00634F16" w:rsidRDefault="00634F16" w:rsidP="00634F16">
            <w:pPr>
              <w:spacing w:line="240" w:lineRule="auto"/>
              <w:rPr>
                <w:sz w:val="18"/>
                <w:szCs w:val="18"/>
              </w:rPr>
            </w:pPr>
            <w:r w:rsidRPr="00634F16">
              <w:rPr>
                <w:sz w:val="18"/>
                <w:szCs w:val="18"/>
              </w:rPr>
              <w:t>2</w:t>
            </w:r>
          </w:p>
        </w:tc>
        <w:tc>
          <w:tcPr>
            <w:tcW w:w="0" w:type="auto"/>
            <w:tcBorders>
              <w:bottom w:val="single" w:sz="6" w:space="0" w:color="DCDFE5"/>
            </w:tcBorders>
            <w:tcMar>
              <w:top w:w="180" w:type="dxa"/>
              <w:left w:w="0" w:type="dxa"/>
              <w:bottom w:w="180" w:type="dxa"/>
              <w:right w:w="0" w:type="dxa"/>
            </w:tcMar>
            <w:hideMark/>
          </w:tcPr>
          <w:p w14:paraId="52B2BB87" w14:textId="77777777" w:rsidR="00634F16" w:rsidRPr="00634F16" w:rsidRDefault="00634F16" w:rsidP="00634F16">
            <w:pPr>
              <w:spacing w:line="240" w:lineRule="auto"/>
              <w:rPr>
                <w:sz w:val="18"/>
                <w:szCs w:val="18"/>
              </w:rPr>
            </w:pPr>
            <w:r w:rsidRPr="00634F16">
              <w:rPr>
                <w:sz w:val="18"/>
                <w:szCs w:val="18"/>
              </w:rPr>
              <w:t>Namještaj</w:t>
            </w:r>
          </w:p>
        </w:tc>
      </w:tr>
      <w:tr w:rsidR="00634F16" w:rsidRPr="00634F16" w14:paraId="4064CE5C" w14:textId="77777777">
        <w:tc>
          <w:tcPr>
            <w:tcW w:w="0" w:type="auto"/>
            <w:tcBorders>
              <w:bottom w:val="single" w:sz="6" w:space="0" w:color="DCDFE5"/>
            </w:tcBorders>
            <w:tcMar>
              <w:top w:w="180" w:type="dxa"/>
              <w:left w:w="0" w:type="dxa"/>
              <w:bottom w:w="180" w:type="dxa"/>
              <w:right w:w="240" w:type="dxa"/>
            </w:tcMar>
            <w:hideMark/>
          </w:tcPr>
          <w:p w14:paraId="46D0FACD" w14:textId="77777777" w:rsidR="00634F16" w:rsidRPr="00634F16" w:rsidRDefault="00634F16" w:rsidP="00634F16">
            <w:pPr>
              <w:spacing w:line="240" w:lineRule="auto"/>
              <w:rPr>
                <w:sz w:val="18"/>
                <w:szCs w:val="18"/>
              </w:rPr>
            </w:pPr>
            <w:r w:rsidRPr="00634F16">
              <w:rPr>
                <w:b/>
                <w:bCs/>
                <w:sz w:val="18"/>
                <w:szCs w:val="18"/>
              </w:rPr>
              <w:t>Stolica Filo</w:t>
            </w:r>
          </w:p>
        </w:tc>
        <w:tc>
          <w:tcPr>
            <w:tcW w:w="0" w:type="auto"/>
            <w:tcBorders>
              <w:bottom w:val="single" w:sz="6" w:space="0" w:color="DCDFE5"/>
            </w:tcBorders>
            <w:tcMar>
              <w:top w:w="180" w:type="dxa"/>
              <w:left w:w="0" w:type="dxa"/>
              <w:bottom w:w="180" w:type="dxa"/>
              <w:right w:w="240" w:type="dxa"/>
            </w:tcMar>
            <w:hideMark/>
          </w:tcPr>
          <w:p w14:paraId="5A326F1A" w14:textId="77777777" w:rsidR="00634F16" w:rsidRPr="00634F16" w:rsidRDefault="00634F16" w:rsidP="00634F16">
            <w:pPr>
              <w:spacing w:line="240" w:lineRule="auto"/>
              <w:rPr>
                <w:sz w:val="18"/>
                <w:szCs w:val="18"/>
              </w:rPr>
            </w:pPr>
            <w:r w:rsidRPr="00634F16">
              <w:rPr>
                <w:sz w:val="18"/>
                <w:szCs w:val="18"/>
              </w:rPr>
              <w:t>Školjka sjedala bež boje</w:t>
            </w:r>
          </w:p>
        </w:tc>
        <w:tc>
          <w:tcPr>
            <w:tcW w:w="0" w:type="auto"/>
            <w:tcBorders>
              <w:bottom w:val="single" w:sz="6" w:space="0" w:color="DCDFE5"/>
            </w:tcBorders>
            <w:tcMar>
              <w:top w:w="180" w:type="dxa"/>
              <w:left w:w="0" w:type="dxa"/>
              <w:bottom w:w="180" w:type="dxa"/>
              <w:right w:w="240" w:type="dxa"/>
            </w:tcMar>
            <w:hideMark/>
          </w:tcPr>
          <w:p w14:paraId="5BDD101C" w14:textId="77777777" w:rsidR="00634F16" w:rsidRPr="00634F16" w:rsidRDefault="00634F16" w:rsidP="00634F16">
            <w:pPr>
              <w:spacing w:line="240" w:lineRule="auto"/>
              <w:rPr>
                <w:sz w:val="18"/>
                <w:szCs w:val="18"/>
              </w:rPr>
            </w:pPr>
            <w:r w:rsidRPr="00634F16">
              <w:rPr>
                <w:sz w:val="18"/>
                <w:szCs w:val="18"/>
              </w:rPr>
              <w:t>40</w:t>
            </w:r>
          </w:p>
        </w:tc>
        <w:tc>
          <w:tcPr>
            <w:tcW w:w="0" w:type="auto"/>
            <w:tcBorders>
              <w:bottom w:val="single" w:sz="6" w:space="0" w:color="DCDFE5"/>
            </w:tcBorders>
            <w:tcMar>
              <w:top w:w="180" w:type="dxa"/>
              <w:left w:w="0" w:type="dxa"/>
              <w:bottom w:w="180" w:type="dxa"/>
              <w:right w:w="0" w:type="dxa"/>
            </w:tcMar>
            <w:hideMark/>
          </w:tcPr>
          <w:p w14:paraId="4ABFEFF1" w14:textId="77777777" w:rsidR="00634F16" w:rsidRPr="00634F16" w:rsidRDefault="00634F16" w:rsidP="00634F16">
            <w:pPr>
              <w:spacing w:line="240" w:lineRule="auto"/>
              <w:rPr>
                <w:sz w:val="18"/>
                <w:szCs w:val="18"/>
              </w:rPr>
            </w:pPr>
            <w:r w:rsidRPr="00634F16">
              <w:rPr>
                <w:sz w:val="18"/>
                <w:szCs w:val="18"/>
              </w:rPr>
              <w:t>Namještaj</w:t>
            </w:r>
          </w:p>
        </w:tc>
      </w:tr>
      <w:tr w:rsidR="00634F16" w:rsidRPr="00634F16" w14:paraId="4CFD7168" w14:textId="77777777">
        <w:tc>
          <w:tcPr>
            <w:tcW w:w="0" w:type="auto"/>
            <w:tcBorders>
              <w:bottom w:val="single" w:sz="6" w:space="0" w:color="DCDFE5"/>
            </w:tcBorders>
            <w:tcMar>
              <w:top w:w="180" w:type="dxa"/>
              <w:left w:w="0" w:type="dxa"/>
              <w:bottom w:w="180" w:type="dxa"/>
              <w:right w:w="240" w:type="dxa"/>
            </w:tcMar>
            <w:hideMark/>
          </w:tcPr>
          <w:p w14:paraId="764D8925" w14:textId="77777777" w:rsidR="00634F16" w:rsidRPr="00634F16" w:rsidRDefault="00634F16" w:rsidP="00634F16">
            <w:pPr>
              <w:spacing w:line="240" w:lineRule="auto"/>
              <w:rPr>
                <w:sz w:val="18"/>
                <w:szCs w:val="18"/>
              </w:rPr>
            </w:pPr>
            <w:r w:rsidRPr="00634F16">
              <w:rPr>
                <w:b/>
                <w:bCs/>
                <w:sz w:val="18"/>
                <w:szCs w:val="18"/>
              </w:rPr>
              <w:t>Stolica Filo</w:t>
            </w:r>
          </w:p>
        </w:tc>
        <w:tc>
          <w:tcPr>
            <w:tcW w:w="0" w:type="auto"/>
            <w:tcBorders>
              <w:bottom w:val="single" w:sz="6" w:space="0" w:color="DCDFE5"/>
            </w:tcBorders>
            <w:tcMar>
              <w:top w:w="180" w:type="dxa"/>
              <w:left w:w="0" w:type="dxa"/>
              <w:bottom w:w="180" w:type="dxa"/>
              <w:right w:w="240" w:type="dxa"/>
            </w:tcMar>
            <w:hideMark/>
          </w:tcPr>
          <w:p w14:paraId="17933599" w14:textId="77777777" w:rsidR="00634F16" w:rsidRPr="00634F16" w:rsidRDefault="00634F16" w:rsidP="00634F16">
            <w:pPr>
              <w:spacing w:line="240" w:lineRule="auto"/>
              <w:rPr>
                <w:sz w:val="18"/>
                <w:szCs w:val="18"/>
              </w:rPr>
            </w:pPr>
            <w:r w:rsidRPr="00634F16">
              <w:rPr>
                <w:sz w:val="18"/>
                <w:szCs w:val="18"/>
              </w:rPr>
              <w:t>Školjka sjedala zelene boje</w:t>
            </w:r>
          </w:p>
        </w:tc>
        <w:tc>
          <w:tcPr>
            <w:tcW w:w="0" w:type="auto"/>
            <w:tcBorders>
              <w:bottom w:val="single" w:sz="6" w:space="0" w:color="DCDFE5"/>
            </w:tcBorders>
            <w:tcMar>
              <w:top w:w="180" w:type="dxa"/>
              <w:left w:w="0" w:type="dxa"/>
              <w:bottom w:w="180" w:type="dxa"/>
              <w:right w:w="240" w:type="dxa"/>
            </w:tcMar>
            <w:hideMark/>
          </w:tcPr>
          <w:p w14:paraId="057BEA74" w14:textId="77777777" w:rsidR="00634F16" w:rsidRPr="00634F16" w:rsidRDefault="00634F16" w:rsidP="00634F16">
            <w:pPr>
              <w:spacing w:line="240" w:lineRule="auto"/>
              <w:rPr>
                <w:sz w:val="18"/>
                <w:szCs w:val="18"/>
              </w:rPr>
            </w:pPr>
            <w:r w:rsidRPr="00634F16">
              <w:rPr>
                <w:sz w:val="18"/>
                <w:szCs w:val="18"/>
              </w:rPr>
              <w:t>10</w:t>
            </w:r>
          </w:p>
        </w:tc>
        <w:tc>
          <w:tcPr>
            <w:tcW w:w="0" w:type="auto"/>
            <w:tcBorders>
              <w:bottom w:val="single" w:sz="6" w:space="0" w:color="DCDFE5"/>
            </w:tcBorders>
            <w:tcMar>
              <w:top w:w="180" w:type="dxa"/>
              <w:left w:w="0" w:type="dxa"/>
              <w:bottom w:w="180" w:type="dxa"/>
              <w:right w:w="0" w:type="dxa"/>
            </w:tcMar>
            <w:hideMark/>
          </w:tcPr>
          <w:p w14:paraId="7DDE1CA2" w14:textId="77777777" w:rsidR="00634F16" w:rsidRPr="00634F16" w:rsidRDefault="00634F16" w:rsidP="00634F16">
            <w:pPr>
              <w:spacing w:line="240" w:lineRule="auto"/>
              <w:rPr>
                <w:sz w:val="18"/>
                <w:szCs w:val="18"/>
              </w:rPr>
            </w:pPr>
            <w:r w:rsidRPr="00634F16">
              <w:rPr>
                <w:sz w:val="18"/>
                <w:szCs w:val="18"/>
              </w:rPr>
              <w:t>Namještaj</w:t>
            </w:r>
          </w:p>
        </w:tc>
      </w:tr>
      <w:tr w:rsidR="00634F16" w:rsidRPr="00634F16" w14:paraId="53D8D88B" w14:textId="77777777">
        <w:tc>
          <w:tcPr>
            <w:tcW w:w="0" w:type="auto"/>
            <w:tcBorders>
              <w:bottom w:val="single" w:sz="6" w:space="0" w:color="DCDFE5"/>
            </w:tcBorders>
            <w:tcMar>
              <w:top w:w="180" w:type="dxa"/>
              <w:left w:w="0" w:type="dxa"/>
              <w:bottom w:w="180" w:type="dxa"/>
              <w:right w:w="240" w:type="dxa"/>
            </w:tcMar>
            <w:hideMark/>
          </w:tcPr>
          <w:p w14:paraId="31F474AE" w14:textId="77777777" w:rsidR="00634F16" w:rsidRPr="00634F16" w:rsidRDefault="00634F16" w:rsidP="00634F16">
            <w:pPr>
              <w:spacing w:line="240" w:lineRule="auto"/>
              <w:rPr>
                <w:sz w:val="18"/>
                <w:szCs w:val="18"/>
              </w:rPr>
            </w:pPr>
            <w:r w:rsidRPr="00634F16">
              <w:rPr>
                <w:b/>
                <w:bCs/>
                <w:sz w:val="18"/>
                <w:szCs w:val="18"/>
              </w:rPr>
              <w:t>Termalni POS printer Birch CP-Q3</w:t>
            </w:r>
          </w:p>
        </w:tc>
        <w:tc>
          <w:tcPr>
            <w:tcW w:w="0" w:type="auto"/>
            <w:tcBorders>
              <w:bottom w:val="single" w:sz="6" w:space="0" w:color="DCDFE5"/>
            </w:tcBorders>
            <w:tcMar>
              <w:top w:w="180" w:type="dxa"/>
              <w:left w:w="0" w:type="dxa"/>
              <w:bottom w:w="180" w:type="dxa"/>
              <w:right w:w="240" w:type="dxa"/>
            </w:tcMar>
            <w:hideMark/>
          </w:tcPr>
          <w:p w14:paraId="0A2CFF25" w14:textId="77777777" w:rsidR="00634F16" w:rsidRPr="00634F16" w:rsidRDefault="00634F16" w:rsidP="00634F16">
            <w:pPr>
              <w:spacing w:line="240" w:lineRule="auto"/>
              <w:rPr>
                <w:sz w:val="18"/>
                <w:szCs w:val="18"/>
              </w:rPr>
            </w:pPr>
            <w:r w:rsidRPr="00634F16">
              <w:rPr>
                <w:sz w:val="18"/>
                <w:szCs w:val="18"/>
              </w:rPr>
              <w:t>S dodatnom opremom</w:t>
            </w:r>
          </w:p>
        </w:tc>
        <w:tc>
          <w:tcPr>
            <w:tcW w:w="0" w:type="auto"/>
            <w:tcBorders>
              <w:bottom w:val="single" w:sz="6" w:space="0" w:color="DCDFE5"/>
            </w:tcBorders>
            <w:tcMar>
              <w:top w:w="180" w:type="dxa"/>
              <w:left w:w="0" w:type="dxa"/>
              <w:bottom w:w="180" w:type="dxa"/>
              <w:right w:w="240" w:type="dxa"/>
            </w:tcMar>
            <w:hideMark/>
          </w:tcPr>
          <w:p w14:paraId="7B44F04D" w14:textId="77777777" w:rsidR="00634F16" w:rsidRPr="00634F16" w:rsidRDefault="00634F16" w:rsidP="00634F16">
            <w:pPr>
              <w:spacing w:line="240" w:lineRule="auto"/>
              <w:rPr>
                <w:sz w:val="18"/>
                <w:szCs w:val="18"/>
              </w:rPr>
            </w:pPr>
            <w:r w:rsidRPr="00634F16">
              <w:rPr>
                <w:sz w:val="18"/>
                <w:szCs w:val="18"/>
              </w:rPr>
              <w:t>1</w:t>
            </w:r>
          </w:p>
        </w:tc>
        <w:tc>
          <w:tcPr>
            <w:tcW w:w="0" w:type="auto"/>
            <w:tcBorders>
              <w:bottom w:val="single" w:sz="6" w:space="0" w:color="DCDFE5"/>
            </w:tcBorders>
            <w:tcMar>
              <w:top w:w="180" w:type="dxa"/>
              <w:left w:w="0" w:type="dxa"/>
              <w:bottom w:w="180" w:type="dxa"/>
              <w:right w:w="0" w:type="dxa"/>
            </w:tcMar>
            <w:hideMark/>
          </w:tcPr>
          <w:p w14:paraId="1EC3AD37" w14:textId="77777777" w:rsidR="00634F16" w:rsidRPr="00634F16" w:rsidRDefault="00634F16" w:rsidP="00634F16">
            <w:pPr>
              <w:spacing w:line="240" w:lineRule="auto"/>
              <w:rPr>
                <w:sz w:val="18"/>
                <w:szCs w:val="18"/>
              </w:rPr>
            </w:pPr>
            <w:r w:rsidRPr="00634F16">
              <w:rPr>
                <w:sz w:val="18"/>
                <w:szCs w:val="18"/>
              </w:rPr>
              <w:t>Uredska oprema / IT oprema</w:t>
            </w:r>
          </w:p>
        </w:tc>
      </w:tr>
      <w:tr w:rsidR="00634F16" w:rsidRPr="00634F16" w14:paraId="2D5C71BC" w14:textId="77777777">
        <w:tc>
          <w:tcPr>
            <w:tcW w:w="0" w:type="auto"/>
            <w:tcBorders>
              <w:bottom w:val="single" w:sz="6" w:space="0" w:color="DCDFE5"/>
            </w:tcBorders>
            <w:tcMar>
              <w:top w:w="180" w:type="dxa"/>
              <w:left w:w="0" w:type="dxa"/>
              <w:bottom w:w="180" w:type="dxa"/>
              <w:right w:w="240" w:type="dxa"/>
            </w:tcMar>
            <w:hideMark/>
          </w:tcPr>
          <w:p w14:paraId="40F823DD" w14:textId="77777777" w:rsidR="00634F16" w:rsidRPr="00634F16" w:rsidRDefault="00634F16" w:rsidP="00634F16">
            <w:pPr>
              <w:spacing w:line="240" w:lineRule="auto"/>
              <w:rPr>
                <w:sz w:val="18"/>
                <w:szCs w:val="18"/>
              </w:rPr>
            </w:pPr>
            <w:proofErr w:type="spellStart"/>
            <w:r w:rsidRPr="00634F16">
              <w:rPr>
                <w:b/>
                <w:bCs/>
                <w:sz w:val="18"/>
                <w:szCs w:val="18"/>
              </w:rPr>
              <w:t>Flisat</w:t>
            </w:r>
            <w:proofErr w:type="spellEnd"/>
            <w:r w:rsidRPr="00634F16">
              <w:rPr>
                <w:b/>
                <w:bCs/>
                <w:sz w:val="18"/>
                <w:szCs w:val="18"/>
              </w:rPr>
              <w:t xml:space="preserve"> N dječji stolac</w:t>
            </w:r>
          </w:p>
        </w:tc>
        <w:tc>
          <w:tcPr>
            <w:tcW w:w="0" w:type="auto"/>
            <w:tcBorders>
              <w:bottom w:val="single" w:sz="6" w:space="0" w:color="DCDFE5"/>
            </w:tcBorders>
            <w:tcMar>
              <w:top w:w="180" w:type="dxa"/>
              <w:left w:w="0" w:type="dxa"/>
              <w:bottom w:w="180" w:type="dxa"/>
              <w:right w:w="240" w:type="dxa"/>
            </w:tcMar>
            <w:hideMark/>
          </w:tcPr>
          <w:p w14:paraId="0A84A72F" w14:textId="77777777" w:rsidR="00634F16" w:rsidRPr="00634F16" w:rsidRDefault="00634F16" w:rsidP="00634F16">
            <w:pPr>
              <w:spacing w:line="240" w:lineRule="auto"/>
              <w:rPr>
                <w:sz w:val="18"/>
                <w:szCs w:val="18"/>
              </w:rPr>
            </w:pPr>
            <w:r w:rsidRPr="00634F16">
              <w:rPr>
                <w:sz w:val="18"/>
                <w:szCs w:val="18"/>
              </w:rPr>
              <w:t>Bor + navlake</w:t>
            </w:r>
          </w:p>
        </w:tc>
        <w:tc>
          <w:tcPr>
            <w:tcW w:w="0" w:type="auto"/>
            <w:tcBorders>
              <w:bottom w:val="single" w:sz="6" w:space="0" w:color="DCDFE5"/>
            </w:tcBorders>
            <w:tcMar>
              <w:top w:w="180" w:type="dxa"/>
              <w:left w:w="0" w:type="dxa"/>
              <w:bottom w:w="180" w:type="dxa"/>
              <w:right w:w="240" w:type="dxa"/>
            </w:tcMar>
            <w:hideMark/>
          </w:tcPr>
          <w:p w14:paraId="1E0E7E02" w14:textId="77777777" w:rsidR="00634F16" w:rsidRPr="00634F16" w:rsidRDefault="00634F16" w:rsidP="00634F16">
            <w:pPr>
              <w:spacing w:line="240" w:lineRule="auto"/>
              <w:rPr>
                <w:sz w:val="18"/>
                <w:szCs w:val="18"/>
              </w:rPr>
            </w:pPr>
            <w:r w:rsidRPr="00634F16">
              <w:rPr>
                <w:sz w:val="18"/>
                <w:szCs w:val="18"/>
              </w:rPr>
              <w:t>15</w:t>
            </w:r>
          </w:p>
        </w:tc>
        <w:tc>
          <w:tcPr>
            <w:tcW w:w="0" w:type="auto"/>
            <w:tcBorders>
              <w:bottom w:val="single" w:sz="6" w:space="0" w:color="DCDFE5"/>
            </w:tcBorders>
            <w:tcMar>
              <w:top w:w="180" w:type="dxa"/>
              <w:left w:w="0" w:type="dxa"/>
              <w:bottom w:w="180" w:type="dxa"/>
              <w:right w:w="0" w:type="dxa"/>
            </w:tcMar>
            <w:hideMark/>
          </w:tcPr>
          <w:p w14:paraId="2D04D497" w14:textId="77777777" w:rsidR="00634F16" w:rsidRPr="00634F16" w:rsidRDefault="00634F16" w:rsidP="00634F16">
            <w:pPr>
              <w:spacing w:line="240" w:lineRule="auto"/>
              <w:rPr>
                <w:sz w:val="18"/>
                <w:szCs w:val="18"/>
              </w:rPr>
            </w:pPr>
            <w:r w:rsidRPr="00634F16">
              <w:rPr>
                <w:sz w:val="18"/>
                <w:szCs w:val="18"/>
              </w:rPr>
              <w:t>Namještaj</w:t>
            </w:r>
          </w:p>
        </w:tc>
      </w:tr>
      <w:tr w:rsidR="00634F16" w:rsidRPr="00634F16" w14:paraId="2AE8C0FB" w14:textId="77777777">
        <w:tc>
          <w:tcPr>
            <w:tcW w:w="0" w:type="auto"/>
            <w:tcBorders>
              <w:bottom w:val="single" w:sz="6" w:space="0" w:color="DCDFE5"/>
            </w:tcBorders>
            <w:tcMar>
              <w:top w:w="180" w:type="dxa"/>
              <w:left w:w="0" w:type="dxa"/>
              <w:bottom w:w="180" w:type="dxa"/>
              <w:right w:w="240" w:type="dxa"/>
            </w:tcMar>
            <w:hideMark/>
          </w:tcPr>
          <w:p w14:paraId="4E83FAB5" w14:textId="77777777" w:rsidR="00634F16" w:rsidRPr="00634F16" w:rsidRDefault="00634F16" w:rsidP="00634F16">
            <w:pPr>
              <w:spacing w:line="240" w:lineRule="auto"/>
              <w:rPr>
                <w:sz w:val="18"/>
                <w:szCs w:val="18"/>
              </w:rPr>
            </w:pPr>
            <w:proofErr w:type="spellStart"/>
            <w:r w:rsidRPr="00634F16">
              <w:rPr>
                <w:b/>
                <w:bCs/>
                <w:sz w:val="18"/>
                <w:szCs w:val="18"/>
              </w:rPr>
              <w:t>Flisat</w:t>
            </w:r>
            <w:proofErr w:type="spellEnd"/>
            <w:r w:rsidRPr="00634F16">
              <w:rPr>
                <w:b/>
                <w:bCs/>
                <w:sz w:val="18"/>
                <w:szCs w:val="18"/>
              </w:rPr>
              <w:t xml:space="preserve"> dječji stol</w:t>
            </w:r>
          </w:p>
        </w:tc>
        <w:tc>
          <w:tcPr>
            <w:tcW w:w="0" w:type="auto"/>
            <w:tcBorders>
              <w:bottom w:val="single" w:sz="6" w:space="0" w:color="DCDFE5"/>
            </w:tcBorders>
            <w:tcMar>
              <w:top w:w="180" w:type="dxa"/>
              <w:left w:w="0" w:type="dxa"/>
              <w:bottom w:w="180" w:type="dxa"/>
              <w:right w:w="240" w:type="dxa"/>
            </w:tcMar>
            <w:hideMark/>
          </w:tcPr>
          <w:p w14:paraId="3835E18C" w14:textId="77777777" w:rsidR="00634F16" w:rsidRPr="00634F16" w:rsidRDefault="00634F16" w:rsidP="00634F16">
            <w:pPr>
              <w:spacing w:line="240" w:lineRule="auto"/>
              <w:rPr>
                <w:sz w:val="18"/>
                <w:szCs w:val="18"/>
              </w:rPr>
            </w:pPr>
            <w:r w:rsidRPr="00634F16">
              <w:rPr>
                <w:sz w:val="18"/>
                <w:szCs w:val="18"/>
              </w:rPr>
              <w:t>83x58 cm</w:t>
            </w:r>
          </w:p>
        </w:tc>
        <w:tc>
          <w:tcPr>
            <w:tcW w:w="0" w:type="auto"/>
            <w:tcBorders>
              <w:bottom w:val="single" w:sz="6" w:space="0" w:color="DCDFE5"/>
            </w:tcBorders>
            <w:tcMar>
              <w:top w:w="180" w:type="dxa"/>
              <w:left w:w="0" w:type="dxa"/>
              <w:bottom w:w="180" w:type="dxa"/>
              <w:right w:w="240" w:type="dxa"/>
            </w:tcMar>
            <w:hideMark/>
          </w:tcPr>
          <w:p w14:paraId="061A9201" w14:textId="77777777" w:rsidR="00634F16" w:rsidRPr="00634F16" w:rsidRDefault="00634F16" w:rsidP="00634F16">
            <w:pPr>
              <w:spacing w:line="240" w:lineRule="auto"/>
              <w:rPr>
                <w:sz w:val="18"/>
                <w:szCs w:val="18"/>
              </w:rPr>
            </w:pPr>
            <w:r w:rsidRPr="00634F16">
              <w:rPr>
                <w:sz w:val="18"/>
                <w:szCs w:val="18"/>
              </w:rPr>
              <w:t>3</w:t>
            </w:r>
          </w:p>
        </w:tc>
        <w:tc>
          <w:tcPr>
            <w:tcW w:w="0" w:type="auto"/>
            <w:tcBorders>
              <w:bottom w:val="single" w:sz="6" w:space="0" w:color="DCDFE5"/>
            </w:tcBorders>
            <w:tcMar>
              <w:top w:w="180" w:type="dxa"/>
              <w:left w:w="0" w:type="dxa"/>
              <w:bottom w:w="180" w:type="dxa"/>
              <w:right w:w="0" w:type="dxa"/>
            </w:tcMar>
            <w:hideMark/>
          </w:tcPr>
          <w:p w14:paraId="445FD12F" w14:textId="77777777" w:rsidR="00634F16" w:rsidRPr="00634F16" w:rsidRDefault="00634F16" w:rsidP="00634F16">
            <w:pPr>
              <w:spacing w:line="240" w:lineRule="auto"/>
              <w:rPr>
                <w:sz w:val="18"/>
                <w:szCs w:val="18"/>
              </w:rPr>
            </w:pPr>
            <w:r w:rsidRPr="00634F16">
              <w:rPr>
                <w:sz w:val="18"/>
                <w:szCs w:val="18"/>
              </w:rPr>
              <w:t>Namještaj</w:t>
            </w:r>
          </w:p>
        </w:tc>
      </w:tr>
      <w:tr w:rsidR="00634F16" w:rsidRPr="00634F16" w14:paraId="3DD311C8" w14:textId="77777777">
        <w:tc>
          <w:tcPr>
            <w:tcW w:w="0" w:type="auto"/>
            <w:tcBorders>
              <w:bottom w:val="nil"/>
            </w:tcBorders>
            <w:tcMar>
              <w:top w:w="180" w:type="dxa"/>
              <w:left w:w="0" w:type="dxa"/>
              <w:bottom w:w="180" w:type="dxa"/>
              <w:right w:w="240" w:type="dxa"/>
            </w:tcMar>
            <w:hideMark/>
          </w:tcPr>
          <w:p w14:paraId="3E402CE8" w14:textId="77777777" w:rsidR="00634F16" w:rsidRPr="00634F16" w:rsidRDefault="00634F16" w:rsidP="00634F16">
            <w:pPr>
              <w:spacing w:line="240" w:lineRule="auto"/>
              <w:rPr>
                <w:sz w:val="18"/>
                <w:szCs w:val="18"/>
              </w:rPr>
            </w:pPr>
            <w:r w:rsidRPr="00634F16">
              <w:rPr>
                <w:b/>
                <w:bCs/>
                <w:sz w:val="18"/>
                <w:szCs w:val="18"/>
              </w:rPr>
              <w:t>UKUPNO KOMADA</w:t>
            </w:r>
          </w:p>
        </w:tc>
        <w:tc>
          <w:tcPr>
            <w:tcW w:w="0" w:type="auto"/>
            <w:tcBorders>
              <w:bottom w:val="nil"/>
            </w:tcBorders>
            <w:tcMar>
              <w:top w:w="180" w:type="dxa"/>
              <w:left w:w="0" w:type="dxa"/>
              <w:bottom w:w="180" w:type="dxa"/>
              <w:right w:w="240" w:type="dxa"/>
            </w:tcMar>
            <w:hideMark/>
          </w:tcPr>
          <w:p w14:paraId="3F07A450" w14:textId="77777777" w:rsidR="00634F16" w:rsidRPr="00634F16" w:rsidRDefault="00634F16" w:rsidP="00634F16">
            <w:pPr>
              <w:spacing w:line="240" w:lineRule="auto"/>
              <w:rPr>
                <w:sz w:val="18"/>
                <w:szCs w:val="18"/>
              </w:rPr>
            </w:pPr>
          </w:p>
        </w:tc>
        <w:tc>
          <w:tcPr>
            <w:tcW w:w="0" w:type="auto"/>
            <w:tcBorders>
              <w:bottom w:val="nil"/>
            </w:tcBorders>
            <w:tcMar>
              <w:top w:w="180" w:type="dxa"/>
              <w:left w:w="0" w:type="dxa"/>
              <w:bottom w:w="180" w:type="dxa"/>
              <w:right w:w="240" w:type="dxa"/>
            </w:tcMar>
            <w:hideMark/>
          </w:tcPr>
          <w:p w14:paraId="23375759" w14:textId="77777777" w:rsidR="00634F16" w:rsidRPr="00634F16" w:rsidRDefault="00634F16" w:rsidP="00634F16">
            <w:pPr>
              <w:spacing w:line="240" w:lineRule="auto"/>
              <w:rPr>
                <w:sz w:val="18"/>
                <w:szCs w:val="18"/>
              </w:rPr>
            </w:pPr>
            <w:r w:rsidRPr="00634F16">
              <w:rPr>
                <w:b/>
                <w:bCs/>
                <w:sz w:val="18"/>
                <w:szCs w:val="18"/>
              </w:rPr>
              <w:t>71</w:t>
            </w:r>
          </w:p>
        </w:tc>
        <w:tc>
          <w:tcPr>
            <w:tcW w:w="0" w:type="auto"/>
            <w:tcBorders>
              <w:bottom w:val="nil"/>
            </w:tcBorders>
            <w:tcMar>
              <w:top w:w="180" w:type="dxa"/>
              <w:left w:w="0" w:type="dxa"/>
              <w:bottom w:w="180" w:type="dxa"/>
              <w:right w:w="0" w:type="dxa"/>
            </w:tcMar>
            <w:hideMark/>
          </w:tcPr>
          <w:p w14:paraId="1D1EB359" w14:textId="77777777" w:rsidR="00634F16" w:rsidRPr="00634F16" w:rsidRDefault="00634F16" w:rsidP="00634F16">
            <w:pPr>
              <w:spacing w:line="240" w:lineRule="auto"/>
              <w:rPr>
                <w:sz w:val="18"/>
                <w:szCs w:val="18"/>
              </w:rPr>
            </w:pPr>
          </w:p>
        </w:tc>
      </w:tr>
    </w:tbl>
    <w:p w14:paraId="655E0530" w14:textId="77777777" w:rsidR="00634F16" w:rsidRPr="00634F16" w:rsidRDefault="00634F16" w:rsidP="00634F16">
      <w:pPr>
        <w:rPr>
          <w:sz w:val="18"/>
          <w:szCs w:val="18"/>
        </w:rPr>
      </w:pPr>
      <w:r w:rsidRPr="00634F16">
        <w:rPr>
          <w:sz w:val="18"/>
          <w:szCs w:val="18"/>
        </w:rPr>
        <w:pict w14:anchorId="6633966D">
          <v:rect id="_x0000_i1028" style="width:0;height:.75pt" o:hralign="center" o:hrstd="t" o:hr="t" fillcolor="#a0a0a0" stroked="f"/>
        </w:pict>
      </w:r>
    </w:p>
    <w:p w14:paraId="5F096A8E" w14:textId="77777777" w:rsidR="0043400B" w:rsidRPr="00634F16" w:rsidRDefault="0043400B">
      <w:pPr>
        <w:rPr>
          <w:sz w:val="18"/>
          <w:szCs w:val="18"/>
        </w:rPr>
      </w:pPr>
    </w:p>
    <w:p w14:paraId="0749B7A9" w14:textId="77777777" w:rsidR="0043400B"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027199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177B5A"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E404EF"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9E2B7A"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F6BB51" w14:textId="77777777" w:rsidR="0043400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7CDDA7" w14:textId="77777777" w:rsidR="0043400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503798" w14:textId="77777777" w:rsidR="0043400B" w:rsidRDefault="00000000">
            <w:pPr>
              <w:keepNext/>
              <w:keepLines/>
              <w:spacing w:after="0" w:line="240" w:lineRule="auto"/>
              <w:jc w:val="center"/>
            </w:pPr>
            <w:r>
              <w:rPr>
                <w:b/>
                <w:sz w:val="18"/>
              </w:rPr>
              <w:t>Indeks (%)</w:t>
            </w:r>
          </w:p>
        </w:tc>
      </w:tr>
      <w:tr w:rsidR="0043400B" w14:paraId="50C79774" w14:textId="77777777">
        <w:tblPrEx>
          <w:tblCellMar>
            <w:top w:w="0" w:type="dxa"/>
            <w:bottom w:w="0" w:type="dxa"/>
          </w:tblCellMar>
        </w:tblPrEx>
        <w:trPr>
          <w:cantSplit/>
          <w:trHeight w:val="560"/>
        </w:trPr>
        <w:tc>
          <w:tcPr>
            <w:tcW w:w="700" w:type="dxa"/>
            <w:tcMar>
              <w:top w:w="0" w:type="dxa"/>
              <w:bottom w:w="0" w:type="dxa"/>
            </w:tcMar>
            <w:vAlign w:val="center"/>
          </w:tcPr>
          <w:p w14:paraId="5B1DE163" w14:textId="77777777" w:rsidR="0043400B" w:rsidRDefault="00000000">
            <w:pPr>
              <w:keepNext/>
              <w:keepLines/>
              <w:spacing w:after="0" w:line="240" w:lineRule="auto"/>
            </w:pPr>
            <w:r>
              <w:rPr>
                <w:sz w:val="18"/>
              </w:rPr>
              <w:t>113</w:t>
            </w:r>
          </w:p>
        </w:tc>
        <w:tc>
          <w:tcPr>
            <w:tcW w:w="3180" w:type="dxa"/>
            <w:tcMar>
              <w:top w:w="0" w:type="dxa"/>
              <w:bottom w:w="0" w:type="dxa"/>
            </w:tcMar>
            <w:vAlign w:val="center"/>
          </w:tcPr>
          <w:p w14:paraId="245C8143" w14:textId="77777777" w:rsidR="0043400B" w:rsidRDefault="00000000">
            <w:pPr>
              <w:keepNext/>
              <w:keepLines/>
              <w:spacing w:after="0" w:line="240" w:lineRule="auto"/>
            </w:pPr>
            <w:r>
              <w:rPr>
                <w:sz w:val="18"/>
              </w:rPr>
              <w:t>Novac u blagajni</w:t>
            </w:r>
          </w:p>
        </w:tc>
        <w:tc>
          <w:tcPr>
            <w:tcW w:w="700" w:type="dxa"/>
            <w:tcMar>
              <w:top w:w="0" w:type="dxa"/>
              <w:bottom w:w="0" w:type="dxa"/>
            </w:tcMar>
            <w:vAlign w:val="center"/>
          </w:tcPr>
          <w:p w14:paraId="0BD7C035" w14:textId="77777777" w:rsidR="0043400B" w:rsidRDefault="00000000">
            <w:pPr>
              <w:keepNext/>
              <w:keepLines/>
              <w:spacing w:after="0" w:line="240" w:lineRule="auto"/>
            </w:pPr>
            <w:r>
              <w:rPr>
                <w:sz w:val="18"/>
              </w:rPr>
              <w:t>113</w:t>
            </w:r>
          </w:p>
        </w:tc>
        <w:tc>
          <w:tcPr>
            <w:tcW w:w="1860" w:type="dxa"/>
            <w:tcMar>
              <w:top w:w="0" w:type="dxa"/>
              <w:bottom w:w="0" w:type="dxa"/>
            </w:tcMar>
            <w:vAlign w:val="center"/>
          </w:tcPr>
          <w:p w14:paraId="6EF57510" w14:textId="77777777" w:rsidR="0043400B" w:rsidRDefault="00000000">
            <w:pPr>
              <w:keepNext/>
              <w:keepLines/>
              <w:spacing w:after="0" w:line="240" w:lineRule="auto"/>
              <w:jc w:val="right"/>
            </w:pPr>
            <w:r>
              <w:rPr>
                <w:sz w:val="18"/>
              </w:rPr>
              <w:t>37,72</w:t>
            </w:r>
          </w:p>
        </w:tc>
        <w:tc>
          <w:tcPr>
            <w:tcW w:w="1860" w:type="dxa"/>
            <w:tcMar>
              <w:top w:w="0" w:type="dxa"/>
              <w:bottom w:w="0" w:type="dxa"/>
            </w:tcMar>
            <w:vAlign w:val="center"/>
          </w:tcPr>
          <w:p w14:paraId="5998CF69" w14:textId="77777777" w:rsidR="0043400B" w:rsidRDefault="00000000">
            <w:pPr>
              <w:keepNext/>
              <w:keepLines/>
              <w:spacing w:after="0" w:line="240" w:lineRule="auto"/>
              <w:jc w:val="right"/>
            </w:pPr>
            <w:r>
              <w:rPr>
                <w:sz w:val="18"/>
              </w:rPr>
              <w:t>28,22</w:t>
            </w:r>
          </w:p>
        </w:tc>
        <w:tc>
          <w:tcPr>
            <w:tcW w:w="700" w:type="dxa"/>
            <w:tcMar>
              <w:top w:w="0" w:type="dxa"/>
              <w:bottom w:w="0" w:type="dxa"/>
            </w:tcMar>
            <w:vAlign w:val="center"/>
          </w:tcPr>
          <w:p w14:paraId="5659DEDD" w14:textId="77777777" w:rsidR="0043400B" w:rsidRDefault="00000000">
            <w:pPr>
              <w:keepNext/>
              <w:keepLines/>
              <w:spacing w:after="0" w:line="240" w:lineRule="auto"/>
              <w:jc w:val="right"/>
            </w:pPr>
            <w:r>
              <w:rPr>
                <w:sz w:val="18"/>
              </w:rPr>
              <w:t>74,8</w:t>
            </w:r>
          </w:p>
        </w:tc>
      </w:tr>
    </w:tbl>
    <w:p w14:paraId="140A2ECF" w14:textId="77777777" w:rsidR="0043400B" w:rsidRDefault="0043400B">
      <w:pPr>
        <w:spacing w:after="0"/>
      </w:pPr>
    </w:p>
    <w:p w14:paraId="65B283BA" w14:textId="77777777" w:rsidR="0043400B" w:rsidRDefault="00000000">
      <w:r>
        <w:t>Stanje na blagajni je ostalo iz razloga što se dogodila situacija da su korisnici uplaćivali članarine sve do kraja godine te se nije stiglo predati u NP. </w:t>
      </w:r>
    </w:p>
    <w:p w14:paraId="0C74702F" w14:textId="77777777" w:rsidR="0043400B" w:rsidRDefault="0043400B"/>
    <w:p w14:paraId="6A0066FB" w14:textId="77777777" w:rsidR="0043400B"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6C6788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7B95F5"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34ABA0"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A8E7E0"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D4528C" w14:textId="77777777" w:rsidR="0043400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6F73FE" w14:textId="77777777" w:rsidR="0043400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BC1946B" w14:textId="77777777" w:rsidR="0043400B" w:rsidRDefault="00000000">
            <w:pPr>
              <w:keepNext/>
              <w:keepLines/>
              <w:spacing w:after="0" w:line="240" w:lineRule="auto"/>
              <w:jc w:val="center"/>
            </w:pPr>
            <w:r>
              <w:rPr>
                <w:b/>
                <w:sz w:val="18"/>
              </w:rPr>
              <w:t>Indeks (%)</w:t>
            </w:r>
          </w:p>
        </w:tc>
      </w:tr>
      <w:tr w:rsidR="0043400B" w14:paraId="043158E9" w14:textId="77777777">
        <w:tblPrEx>
          <w:tblCellMar>
            <w:top w:w="0" w:type="dxa"/>
            <w:bottom w:w="0" w:type="dxa"/>
          </w:tblCellMar>
        </w:tblPrEx>
        <w:trPr>
          <w:cantSplit/>
          <w:trHeight w:val="560"/>
        </w:trPr>
        <w:tc>
          <w:tcPr>
            <w:tcW w:w="700" w:type="dxa"/>
            <w:tcMar>
              <w:top w:w="0" w:type="dxa"/>
              <w:bottom w:w="0" w:type="dxa"/>
            </w:tcMar>
            <w:vAlign w:val="center"/>
          </w:tcPr>
          <w:p w14:paraId="5AF59985" w14:textId="77777777" w:rsidR="0043400B" w:rsidRDefault="00000000">
            <w:pPr>
              <w:keepNext/>
              <w:keepLines/>
              <w:spacing w:after="0" w:line="240" w:lineRule="auto"/>
            </w:pPr>
            <w:r>
              <w:rPr>
                <w:sz w:val="18"/>
              </w:rPr>
              <w:t>231</w:t>
            </w:r>
          </w:p>
        </w:tc>
        <w:tc>
          <w:tcPr>
            <w:tcW w:w="3180" w:type="dxa"/>
            <w:tcMar>
              <w:top w:w="0" w:type="dxa"/>
              <w:bottom w:w="0" w:type="dxa"/>
            </w:tcMar>
            <w:vAlign w:val="center"/>
          </w:tcPr>
          <w:p w14:paraId="1B0F5BA9" w14:textId="77777777" w:rsidR="0043400B" w:rsidRDefault="00000000">
            <w:pPr>
              <w:keepNext/>
              <w:keepLines/>
              <w:spacing w:after="0" w:line="240" w:lineRule="auto"/>
            </w:pPr>
            <w:r>
              <w:rPr>
                <w:sz w:val="18"/>
              </w:rPr>
              <w:t>Obveze za zaposlene</w:t>
            </w:r>
          </w:p>
        </w:tc>
        <w:tc>
          <w:tcPr>
            <w:tcW w:w="700" w:type="dxa"/>
            <w:tcMar>
              <w:top w:w="0" w:type="dxa"/>
              <w:bottom w:w="0" w:type="dxa"/>
            </w:tcMar>
            <w:vAlign w:val="center"/>
          </w:tcPr>
          <w:p w14:paraId="373C1BCA" w14:textId="77777777" w:rsidR="0043400B" w:rsidRDefault="00000000">
            <w:pPr>
              <w:keepNext/>
              <w:keepLines/>
              <w:spacing w:after="0" w:line="240" w:lineRule="auto"/>
            </w:pPr>
            <w:r>
              <w:rPr>
                <w:sz w:val="18"/>
              </w:rPr>
              <w:t>231</w:t>
            </w:r>
          </w:p>
        </w:tc>
        <w:tc>
          <w:tcPr>
            <w:tcW w:w="1860" w:type="dxa"/>
            <w:tcMar>
              <w:top w:w="0" w:type="dxa"/>
              <w:bottom w:w="0" w:type="dxa"/>
            </w:tcMar>
            <w:vAlign w:val="center"/>
          </w:tcPr>
          <w:p w14:paraId="1802F378" w14:textId="77777777" w:rsidR="0043400B" w:rsidRDefault="00000000">
            <w:pPr>
              <w:keepNext/>
              <w:keepLines/>
              <w:spacing w:after="0" w:line="240" w:lineRule="auto"/>
              <w:jc w:val="right"/>
            </w:pPr>
            <w:r>
              <w:rPr>
                <w:sz w:val="18"/>
              </w:rPr>
              <w:t>0,00</w:t>
            </w:r>
          </w:p>
        </w:tc>
        <w:tc>
          <w:tcPr>
            <w:tcW w:w="1860" w:type="dxa"/>
            <w:tcMar>
              <w:top w:w="0" w:type="dxa"/>
              <w:bottom w:w="0" w:type="dxa"/>
            </w:tcMar>
            <w:vAlign w:val="center"/>
          </w:tcPr>
          <w:p w14:paraId="44430953" w14:textId="77777777" w:rsidR="0043400B" w:rsidRDefault="00000000">
            <w:pPr>
              <w:keepNext/>
              <w:keepLines/>
              <w:spacing w:after="0" w:line="240" w:lineRule="auto"/>
              <w:jc w:val="right"/>
            </w:pPr>
            <w:r>
              <w:rPr>
                <w:sz w:val="18"/>
              </w:rPr>
              <w:t>1.864,16</w:t>
            </w:r>
          </w:p>
        </w:tc>
        <w:tc>
          <w:tcPr>
            <w:tcW w:w="700" w:type="dxa"/>
            <w:tcMar>
              <w:top w:w="0" w:type="dxa"/>
              <w:bottom w:w="0" w:type="dxa"/>
            </w:tcMar>
            <w:vAlign w:val="center"/>
          </w:tcPr>
          <w:p w14:paraId="5AC9A0F9" w14:textId="77777777" w:rsidR="0043400B" w:rsidRDefault="00000000">
            <w:pPr>
              <w:keepNext/>
              <w:keepLines/>
              <w:spacing w:after="0" w:line="240" w:lineRule="auto"/>
              <w:jc w:val="right"/>
            </w:pPr>
            <w:r>
              <w:rPr>
                <w:sz w:val="18"/>
              </w:rPr>
              <w:t>-</w:t>
            </w:r>
          </w:p>
        </w:tc>
      </w:tr>
    </w:tbl>
    <w:p w14:paraId="742C9E0F" w14:textId="77777777" w:rsidR="0043400B" w:rsidRDefault="0043400B">
      <w:pPr>
        <w:spacing w:after="0"/>
      </w:pPr>
    </w:p>
    <w:p w14:paraId="256490E4" w14:textId="77777777" w:rsidR="00634F16" w:rsidRPr="00634F16" w:rsidRDefault="00000000" w:rsidP="00634F16">
      <w:pPr>
        <w:rPr>
          <w:sz w:val="18"/>
          <w:szCs w:val="18"/>
        </w:rPr>
      </w:pPr>
      <w:r w:rsidRPr="00634F16">
        <w:rPr>
          <w:sz w:val="18"/>
          <w:szCs w:val="18"/>
        </w:rPr>
        <w:t> </w:t>
      </w:r>
      <w:r w:rsidR="00634F16" w:rsidRPr="00634F16">
        <w:rPr>
          <w:sz w:val="18"/>
          <w:szCs w:val="18"/>
        </w:rPr>
        <w:t>Ovim podacima zaključujemo </w:t>
      </w:r>
      <w:r w:rsidR="00634F16" w:rsidRPr="00634F16">
        <w:rPr>
          <w:b/>
          <w:bCs/>
          <w:sz w:val="18"/>
          <w:szCs w:val="18"/>
        </w:rPr>
        <w:t>kadrovski dio obveza</w:t>
      </w:r>
      <w:r w:rsidR="00634F16" w:rsidRPr="00634F16">
        <w:rPr>
          <w:sz w:val="18"/>
          <w:szCs w:val="18"/>
        </w:rPr>
        <w:t> koje se prenose iz 2025. u 2026. godinu. Ovi iznosi predstavljaju bruto trošak plaće (bez doprinosa na plaću za mirovinsko, koji su sadržani u stavci 231110 ako se gleda neto + doprinosi iz plaće) te obvezni doprinos za zdravstvo.</w:t>
      </w:r>
    </w:p>
    <w:p w14:paraId="1E174C94" w14:textId="77777777" w:rsidR="00634F16" w:rsidRPr="00634F16" w:rsidRDefault="00634F16" w:rsidP="00634F16">
      <w:pPr>
        <w:rPr>
          <w:sz w:val="18"/>
          <w:szCs w:val="18"/>
        </w:rPr>
      </w:pPr>
      <w:r w:rsidRPr="00634F16">
        <w:rPr>
          <w:sz w:val="18"/>
          <w:szCs w:val="18"/>
        </w:rPr>
        <w:t>Evo sažetka za Vašu knjigovodstvenu evidenciju:</w:t>
      </w:r>
    </w:p>
    <w:p w14:paraId="7EE183C2" w14:textId="77777777" w:rsidR="00634F16" w:rsidRPr="00634F16" w:rsidRDefault="00634F16" w:rsidP="00634F16">
      <w:pPr>
        <w:rPr>
          <w:b/>
          <w:bCs/>
          <w:sz w:val="18"/>
          <w:szCs w:val="18"/>
        </w:rPr>
      </w:pPr>
      <w:r w:rsidRPr="00634F16">
        <w:rPr>
          <w:b/>
          <w:bCs/>
          <w:sz w:val="18"/>
          <w:szCs w:val="18"/>
        </w:rPr>
        <w:t>Obveze za zaposlene (Plaća za 12/2025)</w:t>
      </w:r>
    </w:p>
    <w:tbl>
      <w:tblPr>
        <w:tblW w:w="9780" w:type="dxa"/>
        <w:tblCellMar>
          <w:top w:w="15" w:type="dxa"/>
          <w:left w:w="15" w:type="dxa"/>
          <w:bottom w:w="15" w:type="dxa"/>
          <w:right w:w="15" w:type="dxa"/>
        </w:tblCellMar>
        <w:tblLook w:val="04A0" w:firstRow="1" w:lastRow="0" w:firstColumn="1" w:lastColumn="0" w:noHBand="0" w:noVBand="1"/>
      </w:tblPr>
      <w:tblGrid>
        <w:gridCol w:w="1645"/>
        <w:gridCol w:w="7062"/>
        <w:gridCol w:w="1073"/>
      </w:tblGrid>
      <w:tr w:rsidR="00634F16" w:rsidRPr="00634F16" w14:paraId="357F1B4F" w14:textId="77777777">
        <w:tc>
          <w:tcPr>
            <w:tcW w:w="0" w:type="auto"/>
            <w:tcBorders>
              <w:bottom w:val="single" w:sz="6" w:space="0" w:color="DCDFE5"/>
            </w:tcBorders>
            <w:tcMar>
              <w:top w:w="120" w:type="dxa"/>
              <w:left w:w="0" w:type="dxa"/>
              <w:bottom w:w="120" w:type="dxa"/>
              <w:right w:w="240" w:type="dxa"/>
            </w:tcMar>
            <w:hideMark/>
          </w:tcPr>
          <w:p w14:paraId="2C8899F2" w14:textId="77777777" w:rsidR="00634F16" w:rsidRPr="00634F16" w:rsidRDefault="00634F16" w:rsidP="00634F16">
            <w:pPr>
              <w:rPr>
                <w:b/>
                <w:bCs/>
                <w:sz w:val="18"/>
                <w:szCs w:val="18"/>
              </w:rPr>
            </w:pPr>
            <w:r w:rsidRPr="00634F16">
              <w:rPr>
                <w:b/>
                <w:bCs/>
                <w:sz w:val="18"/>
                <w:szCs w:val="18"/>
              </w:rPr>
              <w:t>Konto</w:t>
            </w:r>
          </w:p>
        </w:tc>
        <w:tc>
          <w:tcPr>
            <w:tcW w:w="0" w:type="auto"/>
            <w:tcBorders>
              <w:bottom w:val="single" w:sz="6" w:space="0" w:color="DCDFE5"/>
            </w:tcBorders>
            <w:tcMar>
              <w:top w:w="120" w:type="dxa"/>
              <w:left w:w="0" w:type="dxa"/>
              <w:bottom w:w="120" w:type="dxa"/>
              <w:right w:w="240" w:type="dxa"/>
            </w:tcMar>
            <w:hideMark/>
          </w:tcPr>
          <w:p w14:paraId="0F86A51F" w14:textId="77777777" w:rsidR="00634F16" w:rsidRPr="00634F16" w:rsidRDefault="00634F16" w:rsidP="00634F16">
            <w:pPr>
              <w:rPr>
                <w:b/>
                <w:bCs/>
                <w:sz w:val="18"/>
                <w:szCs w:val="18"/>
              </w:rPr>
            </w:pPr>
            <w:r w:rsidRPr="00634F16">
              <w:rPr>
                <w:b/>
                <w:bCs/>
                <w:sz w:val="18"/>
                <w:szCs w:val="18"/>
              </w:rPr>
              <w:t>Opis</w:t>
            </w:r>
          </w:p>
        </w:tc>
        <w:tc>
          <w:tcPr>
            <w:tcW w:w="0" w:type="auto"/>
            <w:tcBorders>
              <w:bottom w:val="single" w:sz="6" w:space="0" w:color="DCDFE5"/>
            </w:tcBorders>
            <w:tcMar>
              <w:top w:w="120" w:type="dxa"/>
              <w:left w:w="0" w:type="dxa"/>
              <w:bottom w:w="120" w:type="dxa"/>
              <w:right w:w="0" w:type="dxa"/>
            </w:tcMar>
            <w:hideMark/>
          </w:tcPr>
          <w:p w14:paraId="3B793F53" w14:textId="77777777" w:rsidR="00634F16" w:rsidRPr="00634F16" w:rsidRDefault="00634F16" w:rsidP="00634F16">
            <w:pPr>
              <w:rPr>
                <w:b/>
                <w:bCs/>
                <w:sz w:val="18"/>
                <w:szCs w:val="18"/>
              </w:rPr>
            </w:pPr>
            <w:r w:rsidRPr="00634F16">
              <w:rPr>
                <w:b/>
                <w:bCs/>
                <w:sz w:val="18"/>
                <w:szCs w:val="18"/>
              </w:rPr>
              <w:t>Iznos (€)</w:t>
            </w:r>
          </w:p>
        </w:tc>
      </w:tr>
      <w:tr w:rsidR="00634F16" w:rsidRPr="00634F16" w14:paraId="4ABBB0FB" w14:textId="77777777">
        <w:tc>
          <w:tcPr>
            <w:tcW w:w="0" w:type="auto"/>
            <w:tcBorders>
              <w:bottom w:val="single" w:sz="6" w:space="0" w:color="DCDFE5"/>
            </w:tcBorders>
            <w:tcMar>
              <w:top w:w="180" w:type="dxa"/>
              <w:left w:w="0" w:type="dxa"/>
              <w:bottom w:w="180" w:type="dxa"/>
              <w:right w:w="240" w:type="dxa"/>
            </w:tcMar>
            <w:hideMark/>
          </w:tcPr>
          <w:p w14:paraId="68477C77" w14:textId="77777777" w:rsidR="00634F16" w:rsidRPr="00634F16" w:rsidRDefault="00634F16" w:rsidP="00634F16">
            <w:pPr>
              <w:rPr>
                <w:sz w:val="18"/>
                <w:szCs w:val="18"/>
              </w:rPr>
            </w:pPr>
            <w:r w:rsidRPr="00634F16">
              <w:rPr>
                <w:b/>
                <w:bCs/>
                <w:sz w:val="18"/>
                <w:szCs w:val="18"/>
              </w:rPr>
              <w:t>231110</w:t>
            </w:r>
          </w:p>
        </w:tc>
        <w:tc>
          <w:tcPr>
            <w:tcW w:w="0" w:type="auto"/>
            <w:tcBorders>
              <w:bottom w:val="single" w:sz="6" w:space="0" w:color="DCDFE5"/>
            </w:tcBorders>
            <w:tcMar>
              <w:top w:w="180" w:type="dxa"/>
              <w:left w:w="0" w:type="dxa"/>
              <w:bottom w:w="180" w:type="dxa"/>
              <w:right w:w="240" w:type="dxa"/>
            </w:tcMar>
            <w:hideMark/>
          </w:tcPr>
          <w:p w14:paraId="197EC81C" w14:textId="77777777" w:rsidR="00634F16" w:rsidRPr="00634F16" w:rsidRDefault="00634F16" w:rsidP="00634F16">
            <w:pPr>
              <w:rPr>
                <w:sz w:val="18"/>
                <w:szCs w:val="18"/>
              </w:rPr>
            </w:pPr>
            <w:r w:rsidRPr="00634F16">
              <w:rPr>
                <w:sz w:val="18"/>
                <w:szCs w:val="18"/>
              </w:rPr>
              <w:t>Obveze za zaposlene (Neto + Porez + Doprinosi iz plaće)</w:t>
            </w:r>
          </w:p>
        </w:tc>
        <w:tc>
          <w:tcPr>
            <w:tcW w:w="0" w:type="auto"/>
            <w:tcBorders>
              <w:bottom w:val="single" w:sz="6" w:space="0" w:color="DCDFE5"/>
            </w:tcBorders>
            <w:tcMar>
              <w:top w:w="180" w:type="dxa"/>
              <w:left w:w="0" w:type="dxa"/>
              <w:bottom w:w="180" w:type="dxa"/>
              <w:right w:w="0" w:type="dxa"/>
            </w:tcMar>
            <w:hideMark/>
          </w:tcPr>
          <w:p w14:paraId="2FCF9CB6" w14:textId="77777777" w:rsidR="00634F16" w:rsidRPr="00634F16" w:rsidRDefault="00634F16" w:rsidP="00634F16">
            <w:pPr>
              <w:rPr>
                <w:sz w:val="18"/>
                <w:szCs w:val="18"/>
              </w:rPr>
            </w:pPr>
            <w:r w:rsidRPr="00634F16">
              <w:rPr>
                <w:sz w:val="18"/>
                <w:szCs w:val="18"/>
              </w:rPr>
              <w:t>1.597,69</w:t>
            </w:r>
          </w:p>
        </w:tc>
      </w:tr>
      <w:tr w:rsidR="00634F16" w:rsidRPr="00634F16" w14:paraId="51A687E1" w14:textId="77777777">
        <w:tc>
          <w:tcPr>
            <w:tcW w:w="0" w:type="auto"/>
            <w:tcBorders>
              <w:bottom w:val="single" w:sz="6" w:space="0" w:color="DCDFE5"/>
            </w:tcBorders>
            <w:tcMar>
              <w:top w:w="180" w:type="dxa"/>
              <w:left w:w="0" w:type="dxa"/>
              <w:bottom w:w="180" w:type="dxa"/>
              <w:right w:w="240" w:type="dxa"/>
            </w:tcMar>
            <w:hideMark/>
          </w:tcPr>
          <w:p w14:paraId="1D81763C" w14:textId="77777777" w:rsidR="00634F16" w:rsidRPr="00634F16" w:rsidRDefault="00634F16" w:rsidP="00634F16">
            <w:pPr>
              <w:rPr>
                <w:sz w:val="18"/>
                <w:szCs w:val="18"/>
              </w:rPr>
            </w:pPr>
            <w:r w:rsidRPr="00634F16">
              <w:rPr>
                <w:b/>
                <w:bCs/>
                <w:sz w:val="18"/>
                <w:szCs w:val="18"/>
              </w:rPr>
              <w:t>231620</w:t>
            </w:r>
          </w:p>
        </w:tc>
        <w:tc>
          <w:tcPr>
            <w:tcW w:w="0" w:type="auto"/>
            <w:tcBorders>
              <w:bottom w:val="single" w:sz="6" w:space="0" w:color="DCDFE5"/>
            </w:tcBorders>
            <w:tcMar>
              <w:top w:w="180" w:type="dxa"/>
              <w:left w:w="0" w:type="dxa"/>
              <w:bottom w:w="180" w:type="dxa"/>
              <w:right w:w="240" w:type="dxa"/>
            </w:tcMar>
            <w:hideMark/>
          </w:tcPr>
          <w:p w14:paraId="0AA1A89A" w14:textId="77777777" w:rsidR="00634F16" w:rsidRPr="00634F16" w:rsidRDefault="00634F16" w:rsidP="00634F16">
            <w:pPr>
              <w:rPr>
                <w:sz w:val="18"/>
                <w:szCs w:val="18"/>
              </w:rPr>
            </w:pPr>
            <w:r w:rsidRPr="00634F16">
              <w:rPr>
                <w:sz w:val="18"/>
                <w:szCs w:val="18"/>
              </w:rPr>
              <w:t>Obveze za doprinose za obvezno zdravstveno osiguranje</w:t>
            </w:r>
          </w:p>
        </w:tc>
        <w:tc>
          <w:tcPr>
            <w:tcW w:w="0" w:type="auto"/>
            <w:tcBorders>
              <w:bottom w:val="single" w:sz="6" w:space="0" w:color="DCDFE5"/>
            </w:tcBorders>
            <w:tcMar>
              <w:top w:w="180" w:type="dxa"/>
              <w:left w:w="0" w:type="dxa"/>
              <w:bottom w:w="180" w:type="dxa"/>
              <w:right w:w="0" w:type="dxa"/>
            </w:tcMar>
            <w:hideMark/>
          </w:tcPr>
          <w:p w14:paraId="76CDD663" w14:textId="77777777" w:rsidR="00634F16" w:rsidRPr="00634F16" w:rsidRDefault="00634F16" w:rsidP="00634F16">
            <w:pPr>
              <w:rPr>
                <w:sz w:val="18"/>
                <w:szCs w:val="18"/>
              </w:rPr>
            </w:pPr>
            <w:r w:rsidRPr="00634F16">
              <w:rPr>
                <w:sz w:val="18"/>
                <w:szCs w:val="18"/>
              </w:rPr>
              <w:t>266,47</w:t>
            </w:r>
          </w:p>
        </w:tc>
      </w:tr>
      <w:tr w:rsidR="00634F16" w:rsidRPr="00634F16" w14:paraId="3618AA3C" w14:textId="77777777">
        <w:tc>
          <w:tcPr>
            <w:tcW w:w="0" w:type="auto"/>
            <w:tcBorders>
              <w:bottom w:val="nil"/>
            </w:tcBorders>
            <w:tcMar>
              <w:top w:w="180" w:type="dxa"/>
              <w:left w:w="0" w:type="dxa"/>
              <w:bottom w:w="180" w:type="dxa"/>
              <w:right w:w="240" w:type="dxa"/>
            </w:tcMar>
            <w:hideMark/>
          </w:tcPr>
          <w:p w14:paraId="7CB79C93" w14:textId="77777777" w:rsidR="00634F16" w:rsidRPr="00634F16" w:rsidRDefault="00634F16" w:rsidP="00634F16">
            <w:pPr>
              <w:rPr>
                <w:sz w:val="18"/>
                <w:szCs w:val="18"/>
              </w:rPr>
            </w:pPr>
            <w:r w:rsidRPr="00634F16">
              <w:rPr>
                <w:b/>
                <w:bCs/>
                <w:sz w:val="18"/>
                <w:szCs w:val="18"/>
              </w:rPr>
              <w:t>UKUPNO</w:t>
            </w:r>
          </w:p>
        </w:tc>
        <w:tc>
          <w:tcPr>
            <w:tcW w:w="0" w:type="auto"/>
            <w:tcBorders>
              <w:bottom w:val="nil"/>
            </w:tcBorders>
            <w:tcMar>
              <w:top w:w="180" w:type="dxa"/>
              <w:left w:w="0" w:type="dxa"/>
              <w:bottom w:w="180" w:type="dxa"/>
              <w:right w:w="240" w:type="dxa"/>
            </w:tcMar>
            <w:hideMark/>
          </w:tcPr>
          <w:p w14:paraId="2AFEAB70" w14:textId="77777777" w:rsidR="00634F16" w:rsidRPr="00634F16" w:rsidRDefault="00634F16" w:rsidP="00634F16">
            <w:pPr>
              <w:rPr>
                <w:sz w:val="18"/>
                <w:szCs w:val="18"/>
              </w:rPr>
            </w:pPr>
          </w:p>
        </w:tc>
        <w:tc>
          <w:tcPr>
            <w:tcW w:w="0" w:type="auto"/>
            <w:tcBorders>
              <w:bottom w:val="nil"/>
            </w:tcBorders>
            <w:tcMar>
              <w:top w:w="180" w:type="dxa"/>
              <w:left w:w="0" w:type="dxa"/>
              <w:bottom w:w="180" w:type="dxa"/>
              <w:right w:w="0" w:type="dxa"/>
            </w:tcMar>
            <w:hideMark/>
          </w:tcPr>
          <w:p w14:paraId="0703C13B" w14:textId="77777777" w:rsidR="00634F16" w:rsidRPr="00634F16" w:rsidRDefault="00634F16" w:rsidP="00634F16">
            <w:pPr>
              <w:rPr>
                <w:sz w:val="18"/>
                <w:szCs w:val="18"/>
              </w:rPr>
            </w:pPr>
            <w:r w:rsidRPr="00634F16">
              <w:rPr>
                <w:b/>
                <w:bCs/>
                <w:sz w:val="18"/>
                <w:szCs w:val="18"/>
              </w:rPr>
              <w:t>1.864,16</w:t>
            </w:r>
          </w:p>
        </w:tc>
      </w:tr>
    </w:tbl>
    <w:p w14:paraId="6EB8A739" w14:textId="6B47834E" w:rsidR="0043400B" w:rsidRDefault="00000000">
      <w:r>
        <w:br/>
      </w:r>
    </w:p>
    <w:p w14:paraId="3CF426A0" w14:textId="77777777" w:rsidR="0043400B" w:rsidRDefault="0043400B"/>
    <w:p w14:paraId="7D7A97C5" w14:textId="77777777" w:rsidR="0043400B"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3E8BF8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1D63FD"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91D1D3"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2B8196"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17541A" w14:textId="77777777" w:rsidR="0043400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021F8A" w14:textId="77777777" w:rsidR="0043400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80F6E2" w14:textId="77777777" w:rsidR="0043400B" w:rsidRDefault="00000000">
            <w:pPr>
              <w:keepNext/>
              <w:keepLines/>
              <w:spacing w:after="0" w:line="240" w:lineRule="auto"/>
              <w:jc w:val="center"/>
            </w:pPr>
            <w:r>
              <w:rPr>
                <w:b/>
                <w:sz w:val="18"/>
              </w:rPr>
              <w:t>Indeks (%)</w:t>
            </w:r>
          </w:p>
        </w:tc>
      </w:tr>
      <w:tr w:rsidR="0043400B" w14:paraId="41933579" w14:textId="77777777">
        <w:tblPrEx>
          <w:tblCellMar>
            <w:top w:w="0" w:type="dxa"/>
            <w:bottom w:w="0" w:type="dxa"/>
          </w:tblCellMar>
        </w:tblPrEx>
        <w:trPr>
          <w:cantSplit/>
          <w:trHeight w:val="560"/>
        </w:trPr>
        <w:tc>
          <w:tcPr>
            <w:tcW w:w="700" w:type="dxa"/>
            <w:tcMar>
              <w:top w:w="0" w:type="dxa"/>
              <w:bottom w:w="0" w:type="dxa"/>
            </w:tcMar>
            <w:vAlign w:val="center"/>
          </w:tcPr>
          <w:p w14:paraId="1AC6032E" w14:textId="77777777" w:rsidR="0043400B" w:rsidRDefault="00000000">
            <w:pPr>
              <w:keepNext/>
              <w:keepLines/>
              <w:spacing w:after="0" w:line="240" w:lineRule="auto"/>
            </w:pPr>
            <w:r>
              <w:rPr>
                <w:sz w:val="18"/>
              </w:rPr>
              <w:t>232</w:t>
            </w:r>
          </w:p>
        </w:tc>
        <w:tc>
          <w:tcPr>
            <w:tcW w:w="3180" w:type="dxa"/>
            <w:tcMar>
              <w:top w:w="0" w:type="dxa"/>
              <w:bottom w:w="0" w:type="dxa"/>
            </w:tcMar>
            <w:vAlign w:val="center"/>
          </w:tcPr>
          <w:p w14:paraId="3974BB2D" w14:textId="77777777" w:rsidR="0043400B"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4E3D816B" w14:textId="77777777" w:rsidR="0043400B" w:rsidRDefault="00000000">
            <w:pPr>
              <w:keepNext/>
              <w:keepLines/>
              <w:spacing w:after="0" w:line="240" w:lineRule="auto"/>
            </w:pPr>
            <w:r>
              <w:rPr>
                <w:sz w:val="18"/>
              </w:rPr>
              <w:t>232</w:t>
            </w:r>
          </w:p>
        </w:tc>
        <w:tc>
          <w:tcPr>
            <w:tcW w:w="1860" w:type="dxa"/>
            <w:tcMar>
              <w:top w:w="0" w:type="dxa"/>
              <w:bottom w:w="0" w:type="dxa"/>
            </w:tcMar>
            <w:vAlign w:val="center"/>
          </w:tcPr>
          <w:p w14:paraId="289AB812" w14:textId="77777777" w:rsidR="0043400B" w:rsidRDefault="00000000">
            <w:pPr>
              <w:keepNext/>
              <w:keepLines/>
              <w:spacing w:after="0" w:line="240" w:lineRule="auto"/>
              <w:jc w:val="right"/>
            </w:pPr>
            <w:r>
              <w:rPr>
                <w:sz w:val="18"/>
              </w:rPr>
              <w:t>867,67</w:t>
            </w:r>
          </w:p>
        </w:tc>
        <w:tc>
          <w:tcPr>
            <w:tcW w:w="1860" w:type="dxa"/>
            <w:tcMar>
              <w:top w:w="0" w:type="dxa"/>
              <w:bottom w:w="0" w:type="dxa"/>
            </w:tcMar>
            <w:vAlign w:val="center"/>
          </w:tcPr>
          <w:p w14:paraId="529447FB" w14:textId="77777777" w:rsidR="0043400B" w:rsidRDefault="00000000">
            <w:pPr>
              <w:keepNext/>
              <w:keepLines/>
              <w:spacing w:after="0" w:line="240" w:lineRule="auto"/>
              <w:jc w:val="right"/>
            </w:pPr>
            <w:r>
              <w:rPr>
                <w:sz w:val="18"/>
              </w:rPr>
              <w:t>888,63</w:t>
            </w:r>
          </w:p>
        </w:tc>
        <w:tc>
          <w:tcPr>
            <w:tcW w:w="700" w:type="dxa"/>
            <w:tcMar>
              <w:top w:w="0" w:type="dxa"/>
              <w:bottom w:w="0" w:type="dxa"/>
            </w:tcMar>
            <w:vAlign w:val="center"/>
          </w:tcPr>
          <w:p w14:paraId="1D9A3FED" w14:textId="77777777" w:rsidR="0043400B" w:rsidRDefault="00000000">
            <w:pPr>
              <w:keepNext/>
              <w:keepLines/>
              <w:spacing w:after="0" w:line="240" w:lineRule="auto"/>
              <w:jc w:val="right"/>
            </w:pPr>
            <w:r>
              <w:rPr>
                <w:sz w:val="18"/>
              </w:rPr>
              <w:t>102,4</w:t>
            </w:r>
          </w:p>
        </w:tc>
      </w:tr>
    </w:tbl>
    <w:p w14:paraId="47773CA5" w14:textId="77777777" w:rsidR="0043400B" w:rsidRDefault="0043400B">
      <w:pPr>
        <w:spacing w:after="0"/>
      </w:pPr>
    </w:p>
    <w:p w14:paraId="354C22C2" w14:textId="77777777" w:rsidR="00634F16" w:rsidRPr="00634F16" w:rsidRDefault="00634F16" w:rsidP="00634F16">
      <w:pPr>
        <w:spacing w:after="0"/>
        <w:rPr>
          <w:b/>
          <w:bCs/>
          <w:sz w:val="18"/>
          <w:szCs w:val="18"/>
        </w:rPr>
      </w:pPr>
      <w:r w:rsidRPr="00634F16">
        <w:rPr>
          <w:b/>
          <w:bCs/>
          <w:sz w:val="18"/>
          <w:szCs w:val="18"/>
        </w:rPr>
        <w:t>Pregled nedospjelih obveza za materijalne rashode</w:t>
      </w:r>
    </w:p>
    <w:tbl>
      <w:tblPr>
        <w:tblW w:w="9780" w:type="dxa"/>
        <w:tblCellMar>
          <w:top w:w="15" w:type="dxa"/>
          <w:left w:w="15" w:type="dxa"/>
          <w:bottom w:w="15" w:type="dxa"/>
          <w:right w:w="15" w:type="dxa"/>
        </w:tblCellMar>
        <w:tblLook w:val="04A0" w:firstRow="1" w:lastRow="0" w:firstColumn="1" w:lastColumn="0" w:noHBand="0" w:noVBand="1"/>
      </w:tblPr>
      <w:tblGrid>
        <w:gridCol w:w="1641"/>
        <w:gridCol w:w="7069"/>
        <w:gridCol w:w="1070"/>
      </w:tblGrid>
      <w:tr w:rsidR="00634F16" w:rsidRPr="00634F16" w14:paraId="5B047832" w14:textId="77777777">
        <w:tc>
          <w:tcPr>
            <w:tcW w:w="0" w:type="auto"/>
            <w:tcBorders>
              <w:bottom w:val="single" w:sz="6" w:space="0" w:color="DCDFE5"/>
            </w:tcBorders>
            <w:tcMar>
              <w:top w:w="120" w:type="dxa"/>
              <w:left w:w="0" w:type="dxa"/>
              <w:bottom w:w="120" w:type="dxa"/>
              <w:right w:w="240" w:type="dxa"/>
            </w:tcMar>
            <w:hideMark/>
          </w:tcPr>
          <w:p w14:paraId="44DE366E" w14:textId="77777777" w:rsidR="00634F16" w:rsidRPr="00634F16" w:rsidRDefault="00634F16" w:rsidP="00634F16">
            <w:pPr>
              <w:spacing w:after="0"/>
              <w:rPr>
                <w:b/>
                <w:bCs/>
                <w:sz w:val="18"/>
                <w:szCs w:val="18"/>
              </w:rPr>
            </w:pPr>
            <w:r w:rsidRPr="00634F16">
              <w:rPr>
                <w:b/>
                <w:bCs/>
                <w:sz w:val="18"/>
                <w:szCs w:val="18"/>
              </w:rPr>
              <w:lastRenderedPageBreak/>
              <w:t>Konto</w:t>
            </w:r>
          </w:p>
        </w:tc>
        <w:tc>
          <w:tcPr>
            <w:tcW w:w="0" w:type="auto"/>
            <w:tcBorders>
              <w:bottom w:val="single" w:sz="6" w:space="0" w:color="DCDFE5"/>
            </w:tcBorders>
            <w:tcMar>
              <w:top w:w="120" w:type="dxa"/>
              <w:left w:w="0" w:type="dxa"/>
              <w:bottom w:w="120" w:type="dxa"/>
              <w:right w:w="240" w:type="dxa"/>
            </w:tcMar>
            <w:hideMark/>
          </w:tcPr>
          <w:p w14:paraId="1BDAFE84" w14:textId="77777777" w:rsidR="00634F16" w:rsidRPr="00634F16" w:rsidRDefault="00634F16" w:rsidP="00634F16">
            <w:pPr>
              <w:spacing w:after="0"/>
              <w:rPr>
                <w:b/>
                <w:bCs/>
                <w:sz w:val="18"/>
                <w:szCs w:val="18"/>
              </w:rPr>
            </w:pPr>
            <w:r w:rsidRPr="00634F16">
              <w:rPr>
                <w:b/>
                <w:bCs/>
                <w:sz w:val="18"/>
                <w:szCs w:val="18"/>
              </w:rPr>
              <w:t>Naziv stavke / Vrsta rashoda</w:t>
            </w:r>
          </w:p>
        </w:tc>
        <w:tc>
          <w:tcPr>
            <w:tcW w:w="0" w:type="auto"/>
            <w:tcBorders>
              <w:bottom w:val="single" w:sz="6" w:space="0" w:color="DCDFE5"/>
            </w:tcBorders>
            <w:tcMar>
              <w:top w:w="120" w:type="dxa"/>
              <w:left w:w="0" w:type="dxa"/>
              <w:bottom w:w="120" w:type="dxa"/>
              <w:right w:w="0" w:type="dxa"/>
            </w:tcMar>
            <w:hideMark/>
          </w:tcPr>
          <w:p w14:paraId="3B62DEA7" w14:textId="77777777" w:rsidR="00634F16" w:rsidRPr="00634F16" w:rsidRDefault="00634F16" w:rsidP="00634F16">
            <w:pPr>
              <w:spacing w:after="0"/>
              <w:rPr>
                <w:b/>
                <w:bCs/>
                <w:sz w:val="18"/>
                <w:szCs w:val="18"/>
              </w:rPr>
            </w:pPr>
            <w:r w:rsidRPr="00634F16">
              <w:rPr>
                <w:b/>
                <w:bCs/>
                <w:sz w:val="18"/>
                <w:szCs w:val="18"/>
              </w:rPr>
              <w:t>Iznos (€)</w:t>
            </w:r>
          </w:p>
        </w:tc>
      </w:tr>
      <w:tr w:rsidR="00634F16" w:rsidRPr="00634F16" w14:paraId="1063BD5B" w14:textId="77777777">
        <w:tc>
          <w:tcPr>
            <w:tcW w:w="0" w:type="auto"/>
            <w:tcBorders>
              <w:bottom w:val="single" w:sz="6" w:space="0" w:color="DCDFE5"/>
            </w:tcBorders>
            <w:tcMar>
              <w:top w:w="180" w:type="dxa"/>
              <w:left w:w="0" w:type="dxa"/>
              <w:bottom w:w="180" w:type="dxa"/>
              <w:right w:w="240" w:type="dxa"/>
            </w:tcMar>
            <w:hideMark/>
          </w:tcPr>
          <w:p w14:paraId="5583F399" w14:textId="77777777" w:rsidR="00634F16" w:rsidRPr="00634F16" w:rsidRDefault="00634F16" w:rsidP="00634F16">
            <w:pPr>
              <w:spacing w:after="0"/>
              <w:rPr>
                <w:sz w:val="18"/>
                <w:szCs w:val="18"/>
              </w:rPr>
            </w:pPr>
            <w:r w:rsidRPr="00634F16">
              <w:rPr>
                <w:b/>
                <w:bCs/>
                <w:sz w:val="18"/>
                <w:szCs w:val="18"/>
              </w:rPr>
              <w:t>232230</w:t>
            </w:r>
          </w:p>
        </w:tc>
        <w:tc>
          <w:tcPr>
            <w:tcW w:w="0" w:type="auto"/>
            <w:tcBorders>
              <w:bottom w:val="single" w:sz="6" w:space="0" w:color="DCDFE5"/>
            </w:tcBorders>
            <w:tcMar>
              <w:top w:w="180" w:type="dxa"/>
              <w:left w:w="0" w:type="dxa"/>
              <w:bottom w:w="180" w:type="dxa"/>
              <w:right w:w="240" w:type="dxa"/>
            </w:tcMar>
            <w:hideMark/>
          </w:tcPr>
          <w:p w14:paraId="422521D4" w14:textId="77777777" w:rsidR="00634F16" w:rsidRPr="00634F16" w:rsidRDefault="00634F16" w:rsidP="00634F16">
            <w:pPr>
              <w:spacing w:after="0"/>
              <w:rPr>
                <w:sz w:val="18"/>
                <w:szCs w:val="18"/>
              </w:rPr>
            </w:pPr>
            <w:r w:rsidRPr="00634F16">
              <w:rPr>
                <w:sz w:val="18"/>
                <w:szCs w:val="18"/>
              </w:rPr>
              <w:t>Energija</w:t>
            </w:r>
          </w:p>
        </w:tc>
        <w:tc>
          <w:tcPr>
            <w:tcW w:w="0" w:type="auto"/>
            <w:tcBorders>
              <w:bottom w:val="single" w:sz="6" w:space="0" w:color="DCDFE5"/>
            </w:tcBorders>
            <w:tcMar>
              <w:top w:w="180" w:type="dxa"/>
              <w:left w:w="0" w:type="dxa"/>
              <w:bottom w:w="180" w:type="dxa"/>
              <w:right w:w="0" w:type="dxa"/>
            </w:tcMar>
            <w:hideMark/>
          </w:tcPr>
          <w:p w14:paraId="258F956A" w14:textId="77777777" w:rsidR="00634F16" w:rsidRPr="00634F16" w:rsidRDefault="00634F16" w:rsidP="00634F16">
            <w:pPr>
              <w:spacing w:after="0"/>
              <w:rPr>
                <w:sz w:val="18"/>
                <w:szCs w:val="18"/>
              </w:rPr>
            </w:pPr>
            <w:r w:rsidRPr="00634F16">
              <w:rPr>
                <w:sz w:val="18"/>
                <w:szCs w:val="18"/>
              </w:rPr>
              <w:t>651,43</w:t>
            </w:r>
          </w:p>
        </w:tc>
      </w:tr>
      <w:tr w:rsidR="00634F16" w:rsidRPr="00634F16" w14:paraId="514398CC" w14:textId="77777777">
        <w:tc>
          <w:tcPr>
            <w:tcW w:w="0" w:type="auto"/>
            <w:tcBorders>
              <w:bottom w:val="single" w:sz="6" w:space="0" w:color="DCDFE5"/>
            </w:tcBorders>
            <w:tcMar>
              <w:top w:w="180" w:type="dxa"/>
              <w:left w:w="0" w:type="dxa"/>
              <w:bottom w:w="180" w:type="dxa"/>
              <w:right w:w="240" w:type="dxa"/>
            </w:tcMar>
            <w:hideMark/>
          </w:tcPr>
          <w:p w14:paraId="5D640839" w14:textId="77777777" w:rsidR="00634F16" w:rsidRPr="00634F16" w:rsidRDefault="00634F16" w:rsidP="00634F16">
            <w:pPr>
              <w:spacing w:after="0"/>
              <w:rPr>
                <w:sz w:val="18"/>
                <w:szCs w:val="18"/>
              </w:rPr>
            </w:pPr>
            <w:r w:rsidRPr="00634F16">
              <w:rPr>
                <w:b/>
                <w:bCs/>
                <w:sz w:val="18"/>
                <w:szCs w:val="18"/>
              </w:rPr>
              <w:t>232310</w:t>
            </w:r>
          </w:p>
        </w:tc>
        <w:tc>
          <w:tcPr>
            <w:tcW w:w="0" w:type="auto"/>
            <w:tcBorders>
              <w:bottom w:val="single" w:sz="6" w:space="0" w:color="DCDFE5"/>
            </w:tcBorders>
            <w:tcMar>
              <w:top w:w="180" w:type="dxa"/>
              <w:left w:w="0" w:type="dxa"/>
              <w:bottom w:w="180" w:type="dxa"/>
              <w:right w:w="240" w:type="dxa"/>
            </w:tcMar>
            <w:hideMark/>
          </w:tcPr>
          <w:p w14:paraId="619C6D70" w14:textId="77777777" w:rsidR="00634F16" w:rsidRPr="00634F16" w:rsidRDefault="00634F16" w:rsidP="00634F16">
            <w:pPr>
              <w:spacing w:after="0"/>
              <w:rPr>
                <w:sz w:val="18"/>
                <w:szCs w:val="18"/>
              </w:rPr>
            </w:pPr>
            <w:r w:rsidRPr="00634F16">
              <w:rPr>
                <w:sz w:val="18"/>
                <w:szCs w:val="18"/>
              </w:rPr>
              <w:t>Usluge telefona, pošte i prijevoza</w:t>
            </w:r>
          </w:p>
        </w:tc>
        <w:tc>
          <w:tcPr>
            <w:tcW w:w="0" w:type="auto"/>
            <w:tcBorders>
              <w:bottom w:val="single" w:sz="6" w:space="0" w:color="DCDFE5"/>
            </w:tcBorders>
            <w:tcMar>
              <w:top w:w="180" w:type="dxa"/>
              <w:left w:w="0" w:type="dxa"/>
              <w:bottom w:w="180" w:type="dxa"/>
              <w:right w:w="0" w:type="dxa"/>
            </w:tcMar>
            <w:hideMark/>
          </w:tcPr>
          <w:p w14:paraId="491F4FC2" w14:textId="77777777" w:rsidR="00634F16" w:rsidRPr="00634F16" w:rsidRDefault="00634F16" w:rsidP="00634F16">
            <w:pPr>
              <w:spacing w:after="0"/>
              <w:rPr>
                <w:sz w:val="18"/>
                <w:szCs w:val="18"/>
              </w:rPr>
            </w:pPr>
            <w:r w:rsidRPr="00634F16">
              <w:rPr>
                <w:sz w:val="18"/>
                <w:szCs w:val="18"/>
              </w:rPr>
              <w:t>39,11</w:t>
            </w:r>
          </w:p>
        </w:tc>
      </w:tr>
      <w:tr w:rsidR="00634F16" w:rsidRPr="00634F16" w14:paraId="1799C5BA" w14:textId="77777777">
        <w:tc>
          <w:tcPr>
            <w:tcW w:w="0" w:type="auto"/>
            <w:tcBorders>
              <w:bottom w:val="single" w:sz="6" w:space="0" w:color="DCDFE5"/>
            </w:tcBorders>
            <w:tcMar>
              <w:top w:w="180" w:type="dxa"/>
              <w:left w:w="0" w:type="dxa"/>
              <w:bottom w:w="180" w:type="dxa"/>
              <w:right w:w="240" w:type="dxa"/>
            </w:tcMar>
            <w:hideMark/>
          </w:tcPr>
          <w:p w14:paraId="2949A35A" w14:textId="77777777" w:rsidR="00634F16" w:rsidRPr="00634F16" w:rsidRDefault="00634F16" w:rsidP="00634F16">
            <w:pPr>
              <w:spacing w:after="0"/>
              <w:rPr>
                <w:sz w:val="18"/>
                <w:szCs w:val="18"/>
              </w:rPr>
            </w:pPr>
            <w:r w:rsidRPr="00634F16">
              <w:rPr>
                <w:b/>
                <w:bCs/>
                <w:sz w:val="18"/>
                <w:szCs w:val="18"/>
              </w:rPr>
              <w:t>232320</w:t>
            </w:r>
          </w:p>
        </w:tc>
        <w:tc>
          <w:tcPr>
            <w:tcW w:w="0" w:type="auto"/>
            <w:tcBorders>
              <w:bottom w:val="single" w:sz="6" w:space="0" w:color="DCDFE5"/>
            </w:tcBorders>
            <w:tcMar>
              <w:top w:w="180" w:type="dxa"/>
              <w:left w:w="0" w:type="dxa"/>
              <w:bottom w:w="180" w:type="dxa"/>
              <w:right w:w="240" w:type="dxa"/>
            </w:tcMar>
            <w:hideMark/>
          </w:tcPr>
          <w:p w14:paraId="090C73FD" w14:textId="77777777" w:rsidR="00634F16" w:rsidRPr="00634F16" w:rsidRDefault="00634F16" w:rsidP="00634F16">
            <w:pPr>
              <w:spacing w:after="0"/>
              <w:rPr>
                <w:sz w:val="18"/>
                <w:szCs w:val="18"/>
              </w:rPr>
            </w:pPr>
            <w:r w:rsidRPr="00634F16">
              <w:rPr>
                <w:sz w:val="18"/>
                <w:szCs w:val="18"/>
              </w:rPr>
              <w:t xml:space="preserve">Usluge tekućeg i investicijskog održavanja </w:t>
            </w:r>
            <w:proofErr w:type="spellStart"/>
            <w:r w:rsidRPr="00634F16">
              <w:rPr>
                <w:sz w:val="18"/>
                <w:szCs w:val="18"/>
              </w:rPr>
              <w:t>građ</w:t>
            </w:r>
            <w:proofErr w:type="spellEnd"/>
            <w:r w:rsidRPr="00634F16">
              <w:rPr>
                <w:sz w:val="18"/>
                <w:szCs w:val="18"/>
              </w:rPr>
              <w:t>. objekata</w:t>
            </w:r>
          </w:p>
        </w:tc>
        <w:tc>
          <w:tcPr>
            <w:tcW w:w="0" w:type="auto"/>
            <w:tcBorders>
              <w:bottom w:val="single" w:sz="6" w:space="0" w:color="DCDFE5"/>
            </w:tcBorders>
            <w:tcMar>
              <w:top w:w="180" w:type="dxa"/>
              <w:left w:w="0" w:type="dxa"/>
              <w:bottom w:w="180" w:type="dxa"/>
              <w:right w:w="0" w:type="dxa"/>
            </w:tcMar>
            <w:hideMark/>
          </w:tcPr>
          <w:p w14:paraId="3DCA5E8B" w14:textId="77777777" w:rsidR="00634F16" w:rsidRPr="00634F16" w:rsidRDefault="00634F16" w:rsidP="00634F16">
            <w:pPr>
              <w:spacing w:after="0"/>
              <w:rPr>
                <w:sz w:val="18"/>
                <w:szCs w:val="18"/>
              </w:rPr>
            </w:pPr>
            <w:r w:rsidRPr="00634F16">
              <w:rPr>
                <w:sz w:val="18"/>
                <w:szCs w:val="18"/>
              </w:rPr>
              <w:t>9,55</w:t>
            </w:r>
          </w:p>
        </w:tc>
      </w:tr>
      <w:tr w:rsidR="00634F16" w:rsidRPr="00634F16" w14:paraId="02954176" w14:textId="77777777">
        <w:tc>
          <w:tcPr>
            <w:tcW w:w="0" w:type="auto"/>
            <w:tcBorders>
              <w:bottom w:val="single" w:sz="6" w:space="0" w:color="DCDFE5"/>
            </w:tcBorders>
            <w:tcMar>
              <w:top w:w="180" w:type="dxa"/>
              <w:left w:w="0" w:type="dxa"/>
              <w:bottom w:w="180" w:type="dxa"/>
              <w:right w:w="240" w:type="dxa"/>
            </w:tcMar>
            <w:hideMark/>
          </w:tcPr>
          <w:p w14:paraId="01433223" w14:textId="77777777" w:rsidR="00634F16" w:rsidRPr="00634F16" w:rsidRDefault="00634F16" w:rsidP="00634F16">
            <w:pPr>
              <w:spacing w:after="0"/>
              <w:rPr>
                <w:sz w:val="18"/>
                <w:szCs w:val="18"/>
              </w:rPr>
            </w:pPr>
            <w:r w:rsidRPr="00634F16">
              <w:rPr>
                <w:b/>
                <w:bCs/>
                <w:sz w:val="18"/>
                <w:szCs w:val="18"/>
              </w:rPr>
              <w:t>232380</w:t>
            </w:r>
          </w:p>
        </w:tc>
        <w:tc>
          <w:tcPr>
            <w:tcW w:w="0" w:type="auto"/>
            <w:tcBorders>
              <w:bottom w:val="single" w:sz="6" w:space="0" w:color="DCDFE5"/>
            </w:tcBorders>
            <w:tcMar>
              <w:top w:w="180" w:type="dxa"/>
              <w:left w:w="0" w:type="dxa"/>
              <w:bottom w:w="180" w:type="dxa"/>
              <w:right w:w="240" w:type="dxa"/>
            </w:tcMar>
            <w:hideMark/>
          </w:tcPr>
          <w:p w14:paraId="09E719B9" w14:textId="77777777" w:rsidR="00634F16" w:rsidRPr="00634F16" w:rsidRDefault="00634F16" w:rsidP="00634F16">
            <w:pPr>
              <w:spacing w:after="0"/>
              <w:rPr>
                <w:sz w:val="18"/>
                <w:szCs w:val="18"/>
              </w:rPr>
            </w:pPr>
            <w:r w:rsidRPr="00634F16">
              <w:rPr>
                <w:sz w:val="18"/>
                <w:szCs w:val="18"/>
              </w:rPr>
              <w:t>Računalne usluge</w:t>
            </w:r>
          </w:p>
        </w:tc>
        <w:tc>
          <w:tcPr>
            <w:tcW w:w="0" w:type="auto"/>
            <w:tcBorders>
              <w:bottom w:val="single" w:sz="6" w:space="0" w:color="DCDFE5"/>
            </w:tcBorders>
            <w:tcMar>
              <w:top w:w="180" w:type="dxa"/>
              <w:left w:w="0" w:type="dxa"/>
              <w:bottom w:w="180" w:type="dxa"/>
              <w:right w:w="0" w:type="dxa"/>
            </w:tcMar>
            <w:hideMark/>
          </w:tcPr>
          <w:p w14:paraId="01D279BF" w14:textId="77777777" w:rsidR="00634F16" w:rsidRPr="00634F16" w:rsidRDefault="00634F16" w:rsidP="00634F16">
            <w:pPr>
              <w:spacing w:after="0"/>
              <w:rPr>
                <w:sz w:val="18"/>
                <w:szCs w:val="18"/>
              </w:rPr>
            </w:pPr>
            <w:r w:rsidRPr="00634F16">
              <w:rPr>
                <w:sz w:val="18"/>
                <w:szCs w:val="18"/>
              </w:rPr>
              <w:t>1,66</w:t>
            </w:r>
          </w:p>
        </w:tc>
      </w:tr>
      <w:tr w:rsidR="00634F16" w:rsidRPr="00634F16" w14:paraId="6F1202E9" w14:textId="77777777">
        <w:tc>
          <w:tcPr>
            <w:tcW w:w="0" w:type="auto"/>
            <w:tcBorders>
              <w:bottom w:val="single" w:sz="6" w:space="0" w:color="DCDFE5"/>
            </w:tcBorders>
            <w:tcMar>
              <w:top w:w="180" w:type="dxa"/>
              <w:left w:w="0" w:type="dxa"/>
              <w:bottom w:w="180" w:type="dxa"/>
              <w:right w:w="240" w:type="dxa"/>
            </w:tcMar>
            <w:hideMark/>
          </w:tcPr>
          <w:p w14:paraId="32FCF605" w14:textId="77777777" w:rsidR="00634F16" w:rsidRPr="00634F16" w:rsidRDefault="00634F16" w:rsidP="00634F16">
            <w:pPr>
              <w:spacing w:after="0"/>
              <w:rPr>
                <w:sz w:val="18"/>
                <w:szCs w:val="18"/>
              </w:rPr>
            </w:pPr>
            <w:r w:rsidRPr="00634F16">
              <w:rPr>
                <w:b/>
                <w:bCs/>
                <w:sz w:val="18"/>
                <w:szCs w:val="18"/>
              </w:rPr>
              <w:t>232390</w:t>
            </w:r>
          </w:p>
        </w:tc>
        <w:tc>
          <w:tcPr>
            <w:tcW w:w="0" w:type="auto"/>
            <w:tcBorders>
              <w:bottom w:val="single" w:sz="6" w:space="0" w:color="DCDFE5"/>
            </w:tcBorders>
            <w:tcMar>
              <w:top w:w="180" w:type="dxa"/>
              <w:left w:w="0" w:type="dxa"/>
              <w:bottom w:w="180" w:type="dxa"/>
              <w:right w:w="240" w:type="dxa"/>
            </w:tcMar>
            <w:hideMark/>
          </w:tcPr>
          <w:p w14:paraId="2D76DBBE" w14:textId="77777777" w:rsidR="00634F16" w:rsidRPr="00634F16" w:rsidRDefault="00634F16" w:rsidP="00634F16">
            <w:pPr>
              <w:spacing w:after="0"/>
              <w:rPr>
                <w:sz w:val="18"/>
                <w:szCs w:val="18"/>
              </w:rPr>
            </w:pPr>
            <w:r w:rsidRPr="00634F16">
              <w:rPr>
                <w:sz w:val="18"/>
                <w:szCs w:val="18"/>
              </w:rPr>
              <w:t>Ostale usluge</w:t>
            </w:r>
          </w:p>
        </w:tc>
        <w:tc>
          <w:tcPr>
            <w:tcW w:w="0" w:type="auto"/>
            <w:tcBorders>
              <w:bottom w:val="single" w:sz="6" w:space="0" w:color="DCDFE5"/>
            </w:tcBorders>
            <w:tcMar>
              <w:top w:w="180" w:type="dxa"/>
              <w:left w:w="0" w:type="dxa"/>
              <w:bottom w:w="180" w:type="dxa"/>
              <w:right w:w="0" w:type="dxa"/>
            </w:tcMar>
            <w:hideMark/>
          </w:tcPr>
          <w:p w14:paraId="43D8CBDF" w14:textId="77777777" w:rsidR="00634F16" w:rsidRPr="00634F16" w:rsidRDefault="00634F16" w:rsidP="00634F16">
            <w:pPr>
              <w:spacing w:after="0"/>
              <w:rPr>
                <w:sz w:val="18"/>
                <w:szCs w:val="18"/>
              </w:rPr>
            </w:pPr>
            <w:r w:rsidRPr="00634F16">
              <w:rPr>
                <w:sz w:val="18"/>
                <w:szCs w:val="18"/>
              </w:rPr>
              <w:t>169,22</w:t>
            </w:r>
          </w:p>
        </w:tc>
      </w:tr>
      <w:tr w:rsidR="00634F16" w:rsidRPr="00634F16" w14:paraId="54A1CDAA" w14:textId="77777777">
        <w:tc>
          <w:tcPr>
            <w:tcW w:w="0" w:type="auto"/>
            <w:tcBorders>
              <w:bottom w:val="single" w:sz="6" w:space="0" w:color="DCDFE5"/>
            </w:tcBorders>
            <w:tcMar>
              <w:top w:w="180" w:type="dxa"/>
              <w:left w:w="0" w:type="dxa"/>
              <w:bottom w:w="180" w:type="dxa"/>
              <w:right w:w="240" w:type="dxa"/>
            </w:tcMar>
            <w:hideMark/>
          </w:tcPr>
          <w:p w14:paraId="2106A586" w14:textId="77777777" w:rsidR="00634F16" w:rsidRPr="00634F16" w:rsidRDefault="00634F16" w:rsidP="00634F16">
            <w:pPr>
              <w:spacing w:after="0"/>
              <w:rPr>
                <w:sz w:val="18"/>
                <w:szCs w:val="18"/>
              </w:rPr>
            </w:pPr>
            <w:r w:rsidRPr="00634F16">
              <w:rPr>
                <w:b/>
                <w:bCs/>
                <w:sz w:val="18"/>
                <w:szCs w:val="18"/>
              </w:rPr>
              <w:t>232392</w:t>
            </w:r>
          </w:p>
        </w:tc>
        <w:tc>
          <w:tcPr>
            <w:tcW w:w="0" w:type="auto"/>
            <w:tcBorders>
              <w:bottom w:val="single" w:sz="6" w:space="0" w:color="DCDFE5"/>
            </w:tcBorders>
            <w:tcMar>
              <w:top w:w="180" w:type="dxa"/>
              <w:left w:w="0" w:type="dxa"/>
              <w:bottom w:w="180" w:type="dxa"/>
              <w:right w:w="240" w:type="dxa"/>
            </w:tcMar>
            <w:hideMark/>
          </w:tcPr>
          <w:p w14:paraId="1708C958" w14:textId="77777777" w:rsidR="00634F16" w:rsidRPr="00634F16" w:rsidRDefault="00634F16" w:rsidP="00634F16">
            <w:pPr>
              <w:spacing w:after="0"/>
              <w:rPr>
                <w:sz w:val="18"/>
                <w:szCs w:val="18"/>
              </w:rPr>
            </w:pPr>
            <w:r w:rsidRPr="00634F16">
              <w:rPr>
                <w:sz w:val="18"/>
                <w:szCs w:val="18"/>
              </w:rPr>
              <w:t>Ostale nespomenute usluge</w:t>
            </w:r>
          </w:p>
        </w:tc>
        <w:tc>
          <w:tcPr>
            <w:tcW w:w="0" w:type="auto"/>
            <w:tcBorders>
              <w:bottom w:val="single" w:sz="6" w:space="0" w:color="DCDFE5"/>
            </w:tcBorders>
            <w:tcMar>
              <w:top w:w="180" w:type="dxa"/>
              <w:left w:w="0" w:type="dxa"/>
              <w:bottom w:w="180" w:type="dxa"/>
              <w:right w:w="0" w:type="dxa"/>
            </w:tcMar>
            <w:hideMark/>
          </w:tcPr>
          <w:p w14:paraId="4720E945" w14:textId="77777777" w:rsidR="00634F16" w:rsidRPr="00634F16" w:rsidRDefault="00634F16" w:rsidP="00634F16">
            <w:pPr>
              <w:spacing w:after="0"/>
              <w:rPr>
                <w:sz w:val="18"/>
                <w:szCs w:val="18"/>
              </w:rPr>
            </w:pPr>
            <w:r w:rsidRPr="00634F16">
              <w:rPr>
                <w:sz w:val="18"/>
                <w:szCs w:val="18"/>
              </w:rPr>
              <w:t>1,66</w:t>
            </w:r>
          </w:p>
        </w:tc>
      </w:tr>
      <w:tr w:rsidR="00634F16" w:rsidRPr="00634F16" w14:paraId="6D67BE83" w14:textId="77777777">
        <w:tc>
          <w:tcPr>
            <w:tcW w:w="0" w:type="auto"/>
            <w:tcBorders>
              <w:bottom w:val="single" w:sz="6" w:space="0" w:color="DCDFE5"/>
            </w:tcBorders>
            <w:tcMar>
              <w:top w:w="180" w:type="dxa"/>
              <w:left w:w="0" w:type="dxa"/>
              <w:bottom w:w="180" w:type="dxa"/>
              <w:right w:w="240" w:type="dxa"/>
            </w:tcMar>
            <w:hideMark/>
          </w:tcPr>
          <w:p w14:paraId="5E5BC52D" w14:textId="77777777" w:rsidR="00634F16" w:rsidRPr="00634F16" w:rsidRDefault="00634F16" w:rsidP="00634F16">
            <w:pPr>
              <w:spacing w:after="0"/>
              <w:rPr>
                <w:sz w:val="18"/>
                <w:szCs w:val="18"/>
              </w:rPr>
            </w:pPr>
            <w:r w:rsidRPr="00634F16">
              <w:rPr>
                <w:b/>
                <w:bCs/>
                <w:sz w:val="18"/>
                <w:szCs w:val="18"/>
              </w:rPr>
              <w:t>232930</w:t>
            </w:r>
          </w:p>
        </w:tc>
        <w:tc>
          <w:tcPr>
            <w:tcW w:w="0" w:type="auto"/>
            <w:tcBorders>
              <w:bottom w:val="single" w:sz="6" w:space="0" w:color="DCDFE5"/>
            </w:tcBorders>
            <w:tcMar>
              <w:top w:w="180" w:type="dxa"/>
              <w:left w:w="0" w:type="dxa"/>
              <w:bottom w:w="180" w:type="dxa"/>
              <w:right w:w="240" w:type="dxa"/>
            </w:tcMar>
            <w:hideMark/>
          </w:tcPr>
          <w:p w14:paraId="01A84810" w14:textId="77777777" w:rsidR="00634F16" w:rsidRPr="00634F16" w:rsidRDefault="00634F16" w:rsidP="00634F16">
            <w:pPr>
              <w:spacing w:after="0"/>
              <w:rPr>
                <w:sz w:val="18"/>
                <w:szCs w:val="18"/>
              </w:rPr>
            </w:pPr>
            <w:r w:rsidRPr="00634F16">
              <w:rPr>
                <w:sz w:val="18"/>
                <w:szCs w:val="18"/>
              </w:rPr>
              <w:t>Reprezentacija</w:t>
            </w:r>
          </w:p>
        </w:tc>
        <w:tc>
          <w:tcPr>
            <w:tcW w:w="0" w:type="auto"/>
            <w:tcBorders>
              <w:bottom w:val="single" w:sz="6" w:space="0" w:color="DCDFE5"/>
            </w:tcBorders>
            <w:tcMar>
              <w:top w:w="180" w:type="dxa"/>
              <w:left w:w="0" w:type="dxa"/>
              <w:bottom w:w="180" w:type="dxa"/>
              <w:right w:w="0" w:type="dxa"/>
            </w:tcMar>
            <w:hideMark/>
          </w:tcPr>
          <w:p w14:paraId="2FE132D4" w14:textId="77777777" w:rsidR="00634F16" w:rsidRPr="00634F16" w:rsidRDefault="00634F16" w:rsidP="00634F16">
            <w:pPr>
              <w:spacing w:after="0"/>
              <w:rPr>
                <w:sz w:val="18"/>
                <w:szCs w:val="18"/>
              </w:rPr>
            </w:pPr>
            <w:r w:rsidRPr="00634F16">
              <w:rPr>
                <w:sz w:val="18"/>
                <w:szCs w:val="18"/>
              </w:rPr>
              <w:t>16,00</w:t>
            </w:r>
          </w:p>
        </w:tc>
      </w:tr>
      <w:tr w:rsidR="00634F16" w:rsidRPr="00634F16" w14:paraId="237099A4" w14:textId="77777777">
        <w:tc>
          <w:tcPr>
            <w:tcW w:w="0" w:type="auto"/>
            <w:tcBorders>
              <w:bottom w:val="nil"/>
            </w:tcBorders>
            <w:tcMar>
              <w:top w:w="180" w:type="dxa"/>
              <w:left w:w="0" w:type="dxa"/>
              <w:bottom w:w="180" w:type="dxa"/>
              <w:right w:w="240" w:type="dxa"/>
            </w:tcMar>
            <w:hideMark/>
          </w:tcPr>
          <w:p w14:paraId="4004A894" w14:textId="77777777" w:rsidR="00634F16" w:rsidRPr="00634F16" w:rsidRDefault="00634F16" w:rsidP="00634F16">
            <w:pPr>
              <w:spacing w:after="0"/>
              <w:rPr>
                <w:sz w:val="18"/>
                <w:szCs w:val="18"/>
              </w:rPr>
            </w:pPr>
            <w:r w:rsidRPr="00634F16">
              <w:rPr>
                <w:b/>
                <w:bCs/>
                <w:sz w:val="18"/>
                <w:szCs w:val="18"/>
              </w:rPr>
              <w:t>UKUPNO</w:t>
            </w:r>
          </w:p>
        </w:tc>
        <w:tc>
          <w:tcPr>
            <w:tcW w:w="0" w:type="auto"/>
            <w:tcBorders>
              <w:bottom w:val="nil"/>
            </w:tcBorders>
            <w:tcMar>
              <w:top w:w="180" w:type="dxa"/>
              <w:left w:w="0" w:type="dxa"/>
              <w:bottom w:w="180" w:type="dxa"/>
              <w:right w:w="240" w:type="dxa"/>
            </w:tcMar>
            <w:hideMark/>
          </w:tcPr>
          <w:p w14:paraId="0DC4171A" w14:textId="77777777" w:rsidR="00634F16" w:rsidRPr="00634F16" w:rsidRDefault="00634F16" w:rsidP="00634F16">
            <w:pPr>
              <w:spacing w:after="0"/>
              <w:rPr>
                <w:sz w:val="18"/>
                <w:szCs w:val="18"/>
              </w:rPr>
            </w:pPr>
          </w:p>
        </w:tc>
        <w:tc>
          <w:tcPr>
            <w:tcW w:w="0" w:type="auto"/>
            <w:tcBorders>
              <w:bottom w:val="nil"/>
            </w:tcBorders>
            <w:tcMar>
              <w:top w:w="180" w:type="dxa"/>
              <w:left w:w="0" w:type="dxa"/>
              <w:bottom w:w="180" w:type="dxa"/>
              <w:right w:w="0" w:type="dxa"/>
            </w:tcMar>
            <w:hideMark/>
          </w:tcPr>
          <w:p w14:paraId="36B6F20C" w14:textId="77777777" w:rsidR="00634F16" w:rsidRPr="00634F16" w:rsidRDefault="00634F16" w:rsidP="00634F16">
            <w:pPr>
              <w:spacing w:after="0"/>
              <w:rPr>
                <w:sz w:val="18"/>
                <w:szCs w:val="18"/>
              </w:rPr>
            </w:pPr>
            <w:r w:rsidRPr="00634F16">
              <w:rPr>
                <w:b/>
                <w:bCs/>
                <w:sz w:val="18"/>
                <w:szCs w:val="18"/>
              </w:rPr>
              <w:t>888,63</w:t>
            </w:r>
          </w:p>
        </w:tc>
      </w:tr>
    </w:tbl>
    <w:p w14:paraId="44209CB4" w14:textId="77777777" w:rsidR="00634F16" w:rsidRPr="00634F16" w:rsidRDefault="00634F16">
      <w:pPr>
        <w:spacing w:after="0"/>
        <w:rPr>
          <w:sz w:val="18"/>
          <w:szCs w:val="18"/>
        </w:rPr>
      </w:pPr>
    </w:p>
    <w:p w14:paraId="56F9285B" w14:textId="77777777" w:rsidR="00634F16" w:rsidRPr="00634F16" w:rsidRDefault="00634F16">
      <w:pPr>
        <w:spacing w:after="0"/>
        <w:rPr>
          <w:sz w:val="18"/>
          <w:szCs w:val="18"/>
        </w:rPr>
      </w:pPr>
    </w:p>
    <w:p w14:paraId="75A3E5A1" w14:textId="77777777" w:rsidR="00634F16" w:rsidRPr="00634F16" w:rsidRDefault="00634F16">
      <w:pPr>
        <w:spacing w:after="0"/>
        <w:rPr>
          <w:sz w:val="18"/>
          <w:szCs w:val="18"/>
        </w:rPr>
      </w:pPr>
    </w:p>
    <w:p w14:paraId="32F8A6EA" w14:textId="77777777" w:rsidR="00634F16" w:rsidRDefault="00634F16">
      <w:pPr>
        <w:spacing w:after="0"/>
      </w:pPr>
    </w:p>
    <w:p w14:paraId="07CC6905" w14:textId="77777777" w:rsidR="00634F16" w:rsidRDefault="00634F16">
      <w:pPr>
        <w:spacing w:after="0"/>
      </w:pPr>
    </w:p>
    <w:p w14:paraId="4E1EA645" w14:textId="77777777" w:rsidR="00634F16" w:rsidRDefault="00634F16">
      <w:pPr>
        <w:spacing w:after="0"/>
      </w:pPr>
    </w:p>
    <w:p w14:paraId="046156A9" w14:textId="77777777" w:rsidR="0043400B" w:rsidRDefault="00000000">
      <w:pPr>
        <w:keepNext/>
        <w:spacing w:line="240" w:lineRule="auto"/>
        <w:jc w:val="center"/>
      </w:pPr>
      <w:r>
        <w:rPr>
          <w:b/>
          <w:sz w:val="28"/>
        </w:rPr>
        <w:t>Izvještaj o rashodima prema funkcijskoj klasifikaciji</w:t>
      </w:r>
    </w:p>
    <w:p w14:paraId="254647CB" w14:textId="77777777" w:rsidR="0043400B"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2DD7FC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3D0BA5"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F464B4"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C803DD"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491126" w14:textId="77777777" w:rsidR="0043400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23ACCD" w14:textId="77777777" w:rsidR="0043400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A9380C" w14:textId="77777777" w:rsidR="0043400B" w:rsidRDefault="00000000">
            <w:pPr>
              <w:keepNext/>
              <w:keepLines/>
              <w:spacing w:after="0" w:line="240" w:lineRule="auto"/>
              <w:jc w:val="center"/>
            </w:pPr>
            <w:r>
              <w:rPr>
                <w:b/>
                <w:sz w:val="18"/>
              </w:rPr>
              <w:t>Indeks (%)</w:t>
            </w:r>
          </w:p>
        </w:tc>
      </w:tr>
      <w:tr w:rsidR="0043400B" w14:paraId="2B604234" w14:textId="77777777">
        <w:tblPrEx>
          <w:tblCellMar>
            <w:top w:w="0" w:type="dxa"/>
            <w:bottom w:w="0" w:type="dxa"/>
          </w:tblCellMar>
        </w:tblPrEx>
        <w:trPr>
          <w:cantSplit/>
          <w:trHeight w:val="560"/>
        </w:trPr>
        <w:tc>
          <w:tcPr>
            <w:tcW w:w="700" w:type="dxa"/>
            <w:tcMar>
              <w:top w:w="0" w:type="dxa"/>
              <w:bottom w:w="0" w:type="dxa"/>
            </w:tcMar>
            <w:vAlign w:val="center"/>
          </w:tcPr>
          <w:p w14:paraId="52063EC9" w14:textId="77777777" w:rsidR="0043400B" w:rsidRDefault="00000000">
            <w:pPr>
              <w:keepNext/>
              <w:keepLines/>
              <w:spacing w:after="0" w:line="240" w:lineRule="auto"/>
            </w:pPr>
            <w:r>
              <w:rPr>
                <w:sz w:val="18"/>
              </w:rPr>
              <w:t>082</w:t>
            </w:r>
          </w:p>
        </w:tc>
        <w:tc>
          <w:tcPr>
            <w:tcW w:w="3180" w:type="dxa"/>
            <w:tcMar>
              <w:top w:w="0" w:type="dxa"/>
              <w:bottom w:w="0" w:type="dxa"/>
            </w:tcMar>
            <w:vAlign w:val="center"/>
          </w:tcPr>
          <w:p w14:paraId="54A3841A" w14:textId="77777777" w:rsidR="0043400B" w:rsidRDefault="00000000">
            <w:pPr>
              <w:keepNext/>
              <w:keepLines/>
              <w:spacing w:after="0" w:line="240" w:lineRule="auto"/>
            </w:pPr>
            <w:r>
              <w:rPr>
                <w:sz w:val="18"/>
              </w:rPr>
              <w:t>Službe kulture</w:t>
            </w:r>
          </w:p>
        </w:tc>
        <w:tc>
          <w:tcPr>
            <w:tcW w:w="700" w:type="dxa"/>
            <w:tcMar>
              <w:top w:w="0" w:type="dxa"/>
              <w:bottom w:w="0" w:type="dxa"/>
            </w:tcMar>
            <w:vAlign w:val="center"/>
          </w:tcPr>
          <w:p w14:paraId="200FC68B" w14:textId="77777777" w:rsidR="0043400B" w:rsidRDefault="00000000">
            <w:pPr>
              <w:keepNext/>
              <w:keepLines/>
              <w:spacing w:after="0" w:line="240" w:lineRule="auto"/>
            </w:pPr>
            <w:r>
              <w:rPr>
                <w:sz w:val="18"/>
              </w:rPr>
              <w:t>082</w:t>
            </w:r>
          </w:p>
        </w:tc>
        <w:tc>
          <w:tcPr>
            <w:tcW w:w="1860" w:type="dxa"/>
            <w:tcMar>
              <w:top w:w="0" w:type="dxa"/>
              <w:bottom w:w="0" w:type="dxa"/>
            </w:tcMar>
            <w:vAlign w:val="center"/>
          </w:tcPr>
          <w:p w14:paraId="184087F5" w14:textId="77777777" w:rsidR="0043400B" w:rsidRDefault="00000000">
            <w:pPr>
              <w:keepNext/>
              <w:keepLines/>
              <w:spacing w:after="0" w:line="240" w:lineRule="auto"/>
              <w:jc w:val="right"/>
            </w:pPr>
            <w:r>
              <w:rPr>
                <w:sz w:val="18"/>
              </w:rPr>
              <w:t>66.009,35</w:t>
            </w:r>
          </w:p>
        </w:tc>
        <w:tc>
          <w:tcPr>
            <w:tcW w:w="1860" w:type="dxa"/>
            <w:tcMar>
              <w:top w:w="0" w:type="dxa"/>
              <w:bottom w:w="0" w:type="dxa"/>
            </w:tcMar>
            <w:vAlign w:val="center"/>
          </w:tcPr>
          <w:p w14:paraId="7EAC8416" w14:textId="77777777" w:rsidR="0043400B" w:rsidRDefault="00000000">
            <w:pPr>
              <w:keepNext/>
              <w:keepLines/>
              <w:spacing w:after="0" w:line="240" w:lineRule="auto"/>
              <w:jc w:val="right"/>
            </w:pPr>
            <w:r>
              <w:rPr>
                <w:sz w:val="18"/>
              </w:rPr>
              <w:t>78.475,70</w:t>
            </w:r>
          </w:p>
        </w:tc>
        <w:tc>
          <w:tcPr>
            <w:tcW w:w="700" w:type="dxa"/>
            <w:tcMar>
              <w:top w:w="0" w:type="dxa"/>
              <w:bottom w:w="0" w:type="dxa"/>
            </w:tcMar>
            <w:vAlign w:val="center"/>
          </w:tcPr>
          <w:p w14:paraId="3B544823" w14:textId="77777777" w:rsidR="0043400B" w:rsidRDefault="00000000">
            <w:pPr>
              <w:keepNext/>
              <w:keepLines/>
              <w:spacing w:after="0" w:line="240" w:lineRule="auto"/>
              <w:jc w:val="right"/>
            </w:pPr>
            <w:r>
              <w:rPr>
                <w:sz w:val="18"/>
              </w:rPr>
              <w:t>118,9</w:t>
            </w:r>
          </w:p>
        </w:tc>
      </w:tr>
    </w:tbl>
    <w:p w14:paraId="26D8966A" w14:textId="77777777" w:rsidR="0043400B" w:rsidRDefault="0043400B">
      <w:pPr>
        <w:spacing w:after="0"/>
      </w:pPr>
    </w:p>
    <w:p w14:paraId="71778314" w14:textId="77777777" w:rsidR="00634F16" w:rsidRPr="00634F16" w:rsidRDefault="00000000">
      <w:pPr>
        <w:rPr>
          <w:sz w:val="18"/>
          <w:szCs w:val="18"/>
        </w:rPr>
      </w:pPr>
      <w:r w:rsidRPr="00634F16">
        <w:rPr>
          <w:sz w:val="18"/>
          <w:szCs w:val="18"/>
        </w:rPr>
        <w:t xml:space="preserve">Kontinuiranom suradnjom s Dječjim vrtićem Iskrica i Osnovnom školom Josip Kozarac te s udrugama nacionalnih manjina u Općini Lipovljani, povećana je  razina kulturne svijesti zajednice. Organiziranjem raznih aktivnosti kao što su radionice, predavanja, kazališne predstave i promocije knjiga podiže se  razina navike čitanja i boravka u prostoru knjižnice. Nabavom novih knjiga radi se na obogaćivanju fonda knjižnice, a ujedno se osluškuju potrebe korisnika. Oglašavanjem knjižnice i njenih aktivnosti putem društvenih mreža postiže se približavanje novim potencijalnim i postojećim korisnicima. </w:t>
      </w:r>
    </w:p>
    <w:p w14:paraId="5E0F2BF6" w14:textId="272FD7D3" w:rsidR="0043400B" w:rsidRPr="00634F16" w:rsidRDefault="00000000">
      <w:pPr>
        <w:rPr>
          <w:sz w:val="18"/>
          <w:szCs w:val="18"/>
        </w:rPr>
      </w:pPr>
      <w:r w:rsidRPr="00634F16">
        <w:rPr>
          <w:sz w:val="18"/>
          <w:szCs w:val="18"/>
        </w:rPr>
        <w:t>Knjižnica je proračunski korisnik Općine Lipovljani i sredstva za plaću i materijalna prava za jednu zaposlenu osobu ravnateljicu/knjižničarku  osigurana su općinskom proračunu.</w:t>
      </w:r>
      <w:r w:rsidR="00634F16" w:rsidRPr="00634F16">
        <w:rPr>
          <w:sz w:val="18"/>
          <w:szCs w:val="18"/>
        </w:rPr>
        <w:t xml:space="preserve"> </w:t>
      </w:r>
      <w:r w:rsidRPr="00634F16">
        <w:rPr>
          <w:sz w:val="18"/>
          <w:szCs w:val="18"/>
        </w:rPr>
        <w:t>Knjižnica se sastoji od Odjela za djecu i mlade, Odjela za odrasle, Informacijskog pulta odnosno pulta za posudbu te Informatičkog kutka gdje se nalaze računala za korisnike i multimedijalne dvorane u kojoj se održavaju književni susreti, kazališne predstave i ostala događanja. Također, na katu knjižnice postoji prigodni galerijski prostor za održavanje izložbi i sličnih kulturnih aktivnosti gdje je sada smještena zbirka odnosno Spomen soba Josipa Kozarca. Rezultat je uspješno provođenje zadanih ciljeva utvrđenih Programom rada i financijskim planom .Organiziranjem raznih aktivnosti kao što su radionice, predavanja, kazališne predstave i promocije knjiga  podići razinu navike čitanja i boravka u prostoru knjižnice.  Održano je 15 radionica i 2 predstave.</w:t>
      </w:r>
      <w:r w:rsidR="00634F16" w:rsidRPr="00634F16">
        <w:rPr>
          <w:sz w:val="18"/>
          <w:szCs w:val="18"/>
        </w:rPr>
        <w:t xml:space="preserve"> </w:t>
      </w:r>
      <w:r w:rsidRPr="00634F16">
        <w:rPr>
          <w:sz w:val="18"/>
          <w:szCs w:val="18"/>
        </w:rPr>
        <w:t>Nabavom novih knjiga radi se na obogaćivanju fonda knjižnice, a ujedno se osluškuju potrebe korisnika. Oglašavanjem knjižnice i njenih aktivnosti putem društvenih mreža postiže se približavanje novim potencijalnim i postojećim korisnicima. Od  ukupno planiranih sredstava 65% nabava knjiga financira se iz Ministarstva  kulture i medija a ostatak iz općinskog proračuna . Ukupan broj članova je 228 a od toga 26 novih.  Veći broj djece nije produžilo članstvo.</w:t>
      </w:r>
    </w:p>
    <w:p w14:paraId="071652D7" w14:textId="77777777" w:rsidR="0043400B" w:rsidRDefault="0043400B"/>
    <w:p w14:paraId="7E74A6BE" w14:textId="77777777" w:rsidR="0043400B" w:rsidRDefault="00000000">
      <w:pPr>
        <w:keepNext/>
        <w:spacing w:line="240" w:lineRule="auto"/>
        <w:jc w:val="center"/>
      </w:pPr>
      <w:r>
        <w:rPr>
          <w:b/>
          <w:sz w:val="28"/>
        </w:rPr>
        <w:t>Promjene u vrijednosti i obujmu imovine i obveza</w:t>
      </w:r>
    </w:p>
    <w:p w14:paraId="5C2DC068" w14:textId="77777777" w:rsidR="0043400B"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400B" w14:paraId="4299F3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3B3982"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1A275E"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64ED48"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EFBC78" w14:textId="77777777" w:rsidR="0043400B"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91E3537" w14:textId="77777777" w:rsidR="0043400B"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6EC4EDA" w14:textId="77777777" w:rsidR="0043400B" w:rsidRDefault="00000000">
            <w:pPr>
              <w:keepNext/>
              <w:keepLines/>
              <w:spacing w:after="0" w:line="240" w:lineRule="auto"/>
              <w:jc w:val="center"/>
            </w:pPr>
            <w:r>
              <w:rPr>
                <w:b/>
                <w:sz w:val="18"/>
              </w:rPr>
              <w:t>Indeks (%)</w:t>
            </w:r>
          </w:p>
        </w:tc>
      </w:tr>
      <w:tr w:rsidR="0043400B" w14:paraId="18A7B726" w14:textId="77777777">
        <w:tblPrEx>
          <w:tblCellMar>
            <w:top w:w="0" w:type="dxa"/>
            <w:bottom w:w="0" w:type="dxa"/>
          </w:tblCellMar>
        </w:tblPrEx>
        <w:trPr>
          <w:cantSplit/>
          <w:trHeight w:val="560"/>
        </w:trPr>
        <w:tc>
          <w:tcPr>
            <w:tcW w:w="700" w:type="dxa"/>
            <w:tcMar>
              <w:top w:w="0" w:type="dxa"/>
              <w:bottom w:w="0" w:type="dxa"/>
            </w:tcMar>
            <w:vAlign w:val="center"/>
          </w:tcPr>
          <w:p w14:paraId="2712504D" w14:textId="77777777" w:rsidR="0043400B" w:rsidRDefault="00000000">
            <w:pPr>
              <w:keepNext/>
              <w:keepLines/>
              <w:spacing w:after="0" w:line="240" w:lineRule="auto"/>
            </w:pPr>
            <w:r>
              <w:rPr>
                <w:sz w:val="18"/>
              </w:rPr>
              <w:t>9151</w:t>
            </w:r>
          </w:p>
        </w:tc>
        <w:tc>
          <w:tcPr>
            <w:tcW w:w="3180" w:type="dxa"/>
            <w:tcMar>
              <w:top w:w="0" w:type="dxa"/>
              <w:bottom w:w="0" w:type="dxa"/>
            </w:tcMar>
            <w:vAlign w:val="center"/>
          </w:tcPr>
          <w:p w14:paraId="049F5CBD" w14:textId="77777777" w:rsidR="0043400B"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70B56C10" w14:textId="77777777" w:rsidR="0043400B" w:rsidRDefault="00000000">
            <w:pPr>
              <w:keepNext/>
              <w:keepLines/>
              <w:spacing w:after="0" w:line="240" w:lineRule="auto"/>
            </w:pPr>
            <w:r>
              <w:rPr>
                <w:sz w:val="18"/>
              </w:rPr>
              <w:t>9151</w:t>
            </w:r>
          </w:p>
        </w:tc>
        <w:tc>
          <w:tcPr>
            <w:tcW w:w="1860" w:type="dxa"/>
            <w:tcMar>
              <w:top w:w="0" w:type="dxa"/>
              <w:bottom w:w="0" w:type="dxa"/>
            </w:tcMar>
            <w:vAlign w:val="center"/>
          </w:tcPr>
          <w:p w14:paraId="7AFFA4DC" w14:textId="77777777" w:rsidR="0043400B" w:rsidRDefault="00000000">
            <w:pPr>
              <w:keepNext/>
              <w:keepLines/>
              <w:spacing w:after="0" w:line="240" w:lineRule="auto"/>
              <w:jc w:val="right"/>
            </w:pPr>
            <w:r>
              <w:rPr>
                <w:sz w:val="18"/>
              </w:rPr>
              <w:t>0,00</w:t>
            </w:r>
          </w:p>
        </w:tc>
        <w:tc>
          <w:tcPr>
            <w:tcW w:w="1860" w:type="dxa"/>
            <w:tcMar>
              <w:top w:w="0" w:type="dxa"/>
              <w:bottom w:w="0" w:type="dxa"/>
            </w:tcMar>
            <w:vAlign w:val="center"/>
          </w:tcPr>
          <w:p w14:paraId="3C648049" w14:textId="77777777" w:rsidR="0043400B" w:rsidRDefault="00000000">
            <w:pPr>
              <w:keepNext/>
              <w:keepLines/>
              <w:spacing w:after="0" w:line="240" w:lineRule="auto"/>
              <w:jc w:val="right"/>
            </w:pPr>
            <w:r>
              <w:rPr>
                <w:sz w:val="18"/>
              </w:rPr>
              <w:t>0,00</w:t>
            </w:r>
          </w:p>
        </w:tc>
        <w:tc>
          <w:tcPr>
            <w:tcW w:w="700" w:type="dxa"/>
            <w:tcMar>
              <w:top w:w="0" w:type="dxa"/>
              <w:bottom w:w="0" w:type="dxa"/>
            </w:tcMar>
            <w:vAlign w:val="center"/>
          </w:tcPr>
          <w:p w14:paraId="769A4DCD" w14:textId="77777777" w:rsidR="0043400B" w:rsidRDefault="00000000">
            <w:pPr>
              <w:keepNext/>
              <w:keepLines/>
              <w:spacing w:after="0" w:line="240" w:lineRule="auto"/>
              <w:jc w:val="right"/>
            </w:pPr>
            <w:r>
              <w:rPr>
                <w:sz w:val="18"/>
              </w:rPr>
              <w:t>-</w:t>
            </w:r>
          </w:p>
        </w:tc>
      </w:tr>
    </w:tbl>
    <w:p w14:paraId="7529E213" w14:textId="77777777" w:rsidR="0043400B" w:rsidRDefault="0043400B">
      <w:pPr>
        <w:spacing w:after="0"/>
      </w:pPr>
    </w:p>
    <w:p w14:paraId="62D2F8B9" w14:textId="77777777" w:rsidR="0043400B" w:rsidRDefault="00000000">
      <w:r>
        <w:t>Promjene u vrijednosti i obujmu imovine nije bilo u 2025.g.</w:t>
      </w:r>
    </w:p>
    <w:p w14:paraId="529CBAEE" w14:textId="77777777" w:rsidR="0043400B" w:rsidRDefault="0043400B"/>
    <w:p w14:paraId="61BC219D" w14:textId="77777777" w:rsidR="0043400B" w:rsidRDefault="00000000">
      <w:pPr>
        <w:keepNext/>
        <w:spacing w:line="240" w:lineRule="auto"/>
        <w:jc w:val="center"/>
      </w:pPr>
      <w:r>
        <w:rPr>
          <w:b/>
          <w:sz w:val="28"/>
        </w:rPr>
        <w:t>Izvještaj o obvezama</w:t>
      </w:r>
    </w:p>
    <w:p w14:paraId="0962661F" w14:textId="77777777" w:rsidR="0043400B"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3400B" w14:paraId="2AFEC4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F45DD3"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C021B9" w14:textId="77777777" w:rsidR="0043400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DA8748" w14:textId="77777777" w:rsidR="0043400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849D29" w14:textId="77777777" w:rsidR="0043400B"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48E1D17" w14:textId="77777777" w:rsidR="0043400B" w:rsidRDefault="00000000">
            <w:pPr>
              <w:keepNext/>
              <w:keepLines/>
              <w:spacing w:after="0" w:line="240" w:lineRule="auto"/>
              <w:jc w:val="center"/>
            </w:pPr>
            <w:r>
              <w:rPr>
                <w:b/>
                <w:sz w:val="18"/>
              </w:rPr>
              <w:t>Indeks (%)</w:t>
            </w:r>
          </w:p>
        </w:tc>
      </w:tr>
      <w:tr w:rsidR="0043400B" w14:paraId="686D56E9" w14:textId="77777777">
        <w:tblPrEx>
          <w:tblCellMar>
            <w:top w:w="0" w:type="dxa"/>
            <w:bottom w:w="0" w:type="dxa"/>
          </w:tblCellMar>
        </w:tblPrEx>
        <w:trPr>
          <w:cantSplit/>
          <w:trHeight w:val="560"/>
        </w:trPr>
        <w:tc>
          <w:tcPr>
            <w:tcW w:w="700" w:type="dxa"/>
            <w:tcMar>
              <w:top w:w="0" w:type="dxa"/>
              <w:bottom w:w="0" w:type="dxa"/>
            </w:tcMar>
            <w:vAlign w:val="center"/>
          </w:tcPr>
          <w:p w14:paraId="0AB64E53" w14:textId="77777777" w:rsidR="0043400B" w:rsidRDefault="0043400B">
            <w:pPr>
              <w:keepNext/>
              <w:keepLines/>
              <w:spacing w:after="0" w:line="240" w:lineRule="auto"/>
            </w:pPr>
          </w:p>
        </w:tc>
        <w:tc>
          <w:tcPr>
            <w:tcW w:w="3180" w:type="dxa"/>
            <w:tcMar>
              <w:top w:w="0" w:type="dxa"/>
              <w:bottom w:w="0" w:type="dxa"/>
            </w:tcMar>
            <w:vAlign w:val="center"/>
          </w:tcPr>
          <w:p w14:paraId="0EE78C10" w14:textId="77777777" w:rsidR="0043400B"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63F50758" w14:textId="77777777" w:rsidR="0043400B" w:rsidRDefault="00000000">
            <w:pPr>
              <w:keepNext/>
              <w:keepLines/>
              <w:spacing w:after="0" w:line="240" w:lineRule="auto"/>
            </w:pPr>
            <w:r>
              <w:rPr>
                <w:sz w:val="18"/>
              </w:rPr>
              <w:t>V001</w:t>
            </w:r>
          </w:p>
        </w:tc>
        <w:tc>
          <w:tcPr>
            <w:tcW w:w="1860" w:type="dxa"/>
            <w:tcMar>
              <w:top w:w="0" w:type="dxa"/>
              <w:bottom w:w="0" w:type="dxa"/>
            </w:tcMar>
            <w:vAlign w:val="center"/>
          </w:tcPr>
          <w:p w14:paraId="4A27AA63" w14:textId="77777777" w:rsidR="0043400B" w:rsidRDefault="00000000">
            <w:pPr>
              <w:keepNext/>
              <w:keepLines/>
              <w:spacing w:after="0" w:line="240" w:lineRule="auto"/>
              <w:jc w:val="right"/>
            </w:pPr>
            <w:r>
              <w:rPr>
                <w:sz w:val="18"/>
              </w:rPr>
              <w:t>926,24</w:t>
            </w:r>
          </w:p>
        </w:tc>
        <w:tc>
          <w:tcPr>
            <w:tcW w:w="700" w:type="dxa"/>
            <w:tcMar>
              <w:top w:w="0" w:type="dxa"/>
              <w:bottom w:w="0" w:type="dxa"/>
            </w:tcMar>
            <w:vAlign w:val="center"/>
          </w:tcPr>
          <w:p w14:paraId="6EC0759F" w14:textId="77777777" w:rsidR="0043400B" w:rsidRDefault="00000000">
            <w:pPr>
              <w:keepNext/>
              <w:keepLines/>
              <w:spacing w:after="0" w:line="240" w:lineRule="auto"/>
              <w:jc w:val="right"/>
            </w:pPr>
            <w:r>
              <w:rPr>
                <w:sz w:val="18"/>
              </w:rPr>
              <w:t>-</w:t>
            </w:r>
          </w:p>
        </w:tc>
      </w:tr>
    </w:tbl>
    <w:p w14:paraId="45AC161D" w14:textId="77777777" w:rsidR="0043400B" w:rsidRDefault="0043400B">
      <w:pPr>
        <w:spacing w:after="0"/>
      </w:pPr>
    </w:p>
    <w:p w14:paraId="0B236178" w14:textId="77777777" w:rsidR="00634F16" w:rsidRPr="00634F16" w:rsidRDefault="00634F16" w:rsidP="00634F16">
      <w:pPr>
        <w:spacing w:after="0"/>
        <w:rPr>
          <w:b/>
          <w:bCs/>
          <w:sz w:val="18"/>
          <w:szCs w:val="18"/>
        </w:rPr>
      </w:pPr>
      <w:r w:rsidRPr="00634F16">
        <w:rPr>
          <w:b/>
          <w:bCs/>
          <w:sz w:val="18"/>
          <w:szCs w:val="18"/>
        </w:rPr>
        <w:t>Razrada materijalnih rashoda i bankarskih usluga</w:t>
      </w:r>
    </w:p>
    <w:tbl>
      <w:tblPr>
        <w:tblW w:w="9780" w:type="dxa"/>
        <w:tblCellMar>
          <w:top w:w="15" w:type="dxa"/>
          <w:left w:w="15" w:type="dxa"/>
          <w:bottom w:w="15" w:type="dxa"/>
          <w:right w:w="15" w:type="dxa"/>
        </w:tblCellMar>
        <w:tblLook w:val="04A0" w:firstRow="1" w:lastRow="0" w:firstColumn="1" w:lastColumn="0" w:noHBand="0" w:noVBand="1"/>
      </w:tblPr>
      <w:tblGrid>
        <w:gridCol w:w="2025"/>
        <w:gridCol w:w="6434"/>
        <w:gridCol w:w="1321"/>
      </w:tblGrid>
      <w:tr w:rsidR="00634F16" w:rsidRPr="00634F16" w14:paraId="7790A0A6" w14:textId="77777777">
        <w:tc>
          <w:tcPr>
            <w:tcW w:w="0" w:type="auto"/>
            <w:tcBorders>
              <w:bottom w:val="single" w:sz="6" w:space="0" w:color="DCDFE5"/>
            </w:tcBorders>
            <w:tcMar>
              <w:top w:w="120" w:type="dxa"/>
              <w:left w:w="0" w:type="dxa"/>
              <w:bottom w:w="120" w:type="dxa"/>
              <w:right w:w="240" w:type="dxa"/>
            </w:tcMar>
            <w:hideMark/>
          </w:tcPr>
          <w:p w14:paraId="675EE95F" w14:textId="77777777" w:rsidR="00634F16" w:rsidRPr="00634F16" w:rsidRDefault="00634F16" w:rsidP="00634F16">
            <w:pPr>
              <w:spacing w:after="0"/>
              <w:rPr>
                <w:b/>
                <w:bCs/>
                <w:sz w:val="18"/>
                <w:szCs w:val="18"/>
              </w:rPr>
            </w:pPr>
            <w:r w:rsidRPr="00634F16">
              <w:rPr>
                <w:b/>
                <w:bCs/>
                <w:sz w:val="18"/>
                <w:szCs w:val="18"/>
              </w:rPr>
              <w:t>Konto</w:t>
            </w:r>
          </w:p>
        </w:tc>
        <w:tc>
          <w:tcPr>
            <w:tcW w:w="0" w:type="auto"/>
            <w:tcBorders>
              <w:bottom w:val="single" w:sz="6" w:space="0" w:color="DCDFE5"/>
            </w:tcBorders>
            <w:tcMar>
              <w:top w:w="120" w:type="dxa"/>
              <w:left w:w="0" w:type="dxa"/>
              <w:bottom w:w="120" w:type="dxa"/>
              <w:right w:w="240" w:type="dxa"/>
            </w:tcMar>
            <w:hideMark/>
          </w:tcPr>
          <w:p w14:paraId="3F2BC4DE" w14:textId="77777777" w:rsidR="00634F16" w:rsidRPr="00634F16" w:rsidRDefault="00634F16" w:rsidP="00634F16">
            <w:pPr>
              <w:spacing w:after="0"/>
              <w:rPr>
                <w:b/>
                <w:bCs/>
                <w:sz w:val="18"/>
                <w:szCs w:val="18"/>
              </w:rPr>
            </w:pPr>
            <w:r w:rsidRPr="00634F16">
              <w:rPr>
                <w:b/>
                <w:bCs/>
                <w:sz w:val="18"/>
                <w:szCs w:val="18"/>
              </w:rPr>
              <w:t>Vrsta troška</w:t>
            </w:r>
          </w:p>
        </w:tc>
        <w:tc>
          <w:tcPr>
            <w:tcW w:w="0" w:type="auto"/>
            <w:tcBorders>
              <w:bottom w:val="single" w:sz="6" w:space="0" w:color="DCDFE5"/>
            </w:tcBorders>
            <w:tcMar>
              <w:top w:w="120" w:type="dxa"/>
              <w:left w:w="0" w:type="dxa"/>
              <w:bottom w:w="120" w:type="dxa"/>
              <w:right w:w="0" w:type="dxa"/>
            </w:tcMar>
            <w:hideMark/>
          </w:tcPr>
          <w:p w14:paraId="0D2C4CF2" w14:textId="77777777" w:rsidR="00634F16" w:rsidRPr="00634F16" w:rsidRDefault="00634F16" w:rsidP="00634F16">
            <w:pPr>
              <w:spacing w:after="0"/>
              <w:rPr>
                <w:b/>
                <w:bCs/>
                <w:sz w:val="18"/>
                <w:szCs w:val="18"/>
              </w:rPr>
            </w:pPr>
            <w:r w:rsidRPr="00634F16">
              <w:rPr>
                <w:b/>
                <w:bCs/>
                <w:sz w:val="18"/>
                <w:szCs w:val="18"/>
              </w:rPr>
              <w:t>Iznos (€)</w:t>
            </w:r>
          </w:p>
        </w:tc>
      </w:tr>
      <w:tr w:rsidR="00634F16" w:rsidRPr="00634F16" w14:paraId="6AA5488B" w14:textId="77777777">
        <w:tc>
          <w:tcPr>
            <w:tcW w:w="0" w:type="auto"/>
            <w:tcBorders>
              <w:bottom w:val="single" w:sz="6" w:space="0" w:color="DCDFE5"/>
            </w:tcBorders>
            <w:tcMar>
              <w:top w:w="180" w:type="dxa"/>
              <w:left w:w="0" w:type="dxa"/>
              <w:bottom w:w="180" w:type="dxa"/>
              <w:right w:w="240" w:type="dxa"/>
            </w:tcMar>
            <w:hideMark/>
          </w:tcPr>
          <w:p w14:paraId="026FFE1D" w14:textId="77777777" w:rsidR="00634F16" w:rsidRPr="00634F16" w:rsidRDefault="00634F16" w:rsidP="00634F16">
            <w:pPr>
              <w:spacing w:after="0"/>
              <w:rPr>
                <w:sz w:val="18"/>
                <w:szCs w:val="18"/>
              </w:rPr>
            </w:pPr>
            <w:r w:rsidRPr="00634F16">
              <w:rPr>
                <w:b/>
                <w:bCs/>
                <w:sz w:val="18"/>
                <w:szCs w:val="18"/>
              </w:rPr>
              <w:t>23223</w:t>
            </w:r>
          </w:p>
        </w:tc>
        <w:tc>
          <w:tcPr>
            <w:tcW w:w="0" w:type="auto"/>
            <w:tcBorders>
              <w:bottom w:val="single" w:sz="6" w:space="0" w:color="DCDFE5"/>
            </w:tcBorders>
            <w:tcMar>
              <w:top w:w="180" w:type="dxa"/>
              <w:left w:w="0" w:type="dxa"/>
              <w:bottom w:w="180" w:type="dxa"/>
              <w:right w:w="240" w:type="dxa"/>
            </w:tcMar>
            <w:hideMark/>
          </w:tcPr>
          <w:p w14:paraId="1D74511D" w14:textId="77777777" w:rsidR="00634F16" w:rsidRPr="00634F16" w:rsidRDefault="00634F16" w:rsidP="00634F16">
            <w:pPr>
              <w:spacing w:after="0"/>
              <w:rPr>
                <w:sz w:val="18"/>
                <w:szCs w:val="18"/>
              </w:rPr>
            </w:pPr>
            <w:r w:rsidRPr="00634F16">
              <w:rPr>
                <w:sz w:val="18"/>
                <w:szCs w:val="18"/>
              </w:rPr>
              <w:t>Energija</w:t>
            </w:r>
          </w:p>
        </w:tc>
        <w:tc>
          <w:tcPr>
            <w:tcW w:w="0" w:type="auto"/>
            <w:tcBorders>
              <w:bottom w:val="single" w:sz="6" w:space="0" w:color="DCDFE5"/>
            </w:tcBorders>
            <w:tcMar>
              <w:top w:w="180" w:type="dxa"/>
              <w:left w:w="0" w:type="dxa"/>
              <w:bottom w:w="180" w:type="dxa"/>
              <w:right w:w="0" w:type="dxa"/>
            </w:tcMar>
            <w:hideMark/>
          </w:tcPr>
          <w:p w14:paraId="12589052" w14:textId="77777777" w:rsidR="00634F16" w:rsidRPr="00634F16" w:rsidRDefault="00634F16" w:rsidP="00634F16">
            <w:pPr>
              <w:spacing w:after="0"/>
              <w:rPr>
                <w:sz w:val="18"/>
                <w:szCs w:val="18"/>
              </w:rPr>
            </w:pPr>
            <w:r w:rsidRPr="00634F16">
              <w:rPr>
                <w:sz w:val="18"/>
                <w:szCs w:val="18"/>
              </w:rPr>
              <w:t>702,83</w:t>
            </w:r>
          </w:p>
        </w:tc>
      </w:tr>
      <w:tr w:rsidR="00634F16" w:rsidRPr="00634F16" w14:paraId="3C49BF0B" w14:textId="77777777">
        <w:tc>
          <w:tcPr>
            <w:tcW w:w="0" w:type="auto"/>
            <w:tcBorders>
              <w:bottom w:val="single" w:sz="6" w:space="0" w:color="DCDFE5"/>
            </w:tcBorders>
            <w:tcMar>
              <w:top w:w="180" w:type="dxa"/>
              <w:left w:w="0" w:type="dxa"/>
              <w:bottom w:w="180" w:type="dxa"/>
              <w:right w:w="240" w:type="dxa"/>
            </w:tcMar>
            <w:hideMark/>
          </w:tcPr>
          <w:p w14:paraId="61DCE385" w14:textId="77777777" w:rsidR="00634F16" w:rsidRPr="00634F16" w:rsidRDefault="00634F16" w:rsidP="00634F16">
            <w:pPr>
              <w:spacing w:after="0"/>
              <w:rPr>
                <w:sz w:val="18"/>
                <w:szCs w:val="18"/>
              </w:rPr>
            </w:pPr>
            <w:r w:rsidRPr="00634F16">
              <w:rPr>
                <w:b/>
                <w:bCs/>
                <w:sz w:val="18"/>
                <w:szCs w:val="18"/>
              </w:rPr>
              <w:t>23231</w:t>
            </w:r>
          </w:p>
        </w:tc>
        <w:tc>
          <w:tcPr>
            <w:tcW w:w="0" w:type="auto"/>
            <w:tcBorders>
              <w:bottom w:val="single" w:sz="6" w:space="0" w:color="DCDFE5"/>
            </w:tcBorders>
            <w:tcMar>
              <w:top w:w="180" w:type="dxa"/>
              <w:left w:w="0" w:type="dxa"/>
              <w:bottom w:w="180" w:type="dxa"/>
              <w:right w:w="240" w:type="dxa"/>
            </w:tcMar>
            <w:hideMark/>
          </w:tcPr>
          <w:p w14:paraId="72115C26" w14:textId="77777777" w:rsidR="00634F16" w:rsidRPr="00634F16" w:rsidRDefault="00634F16" w:rsidP="00634F16">
            <w:pPr>
              <w:spacing w:after="0"/>
              <w:rPr>
                <w:sz w:val="18"/>
                <w:szCs w:val="18"/>
              </w:rPr>
            </w:pPr>
            <w:r w:rsidRPr="00634F16">
              <w:rPr>
                <w:sz w:val="18"/>
                <w:szCs w:val="18"/>
              </w:rPr>
              <w:t>Usluge telefona, pošte i prijevoza</w:t>
            </w:r>
          </w:p>
        </w:tc>
        <w:tc>
          <w:tcPr>
            <w:tcW w:w="0" w:type="auto"/>
            <w:tcBorders>
              <w:bottom w:val="single" w:sz="6" w:space="0" w:color="DCDFE5"/>
            </w:tcBorders>
            <w:tcMar>
              <w:top w:w="180" w:type="dxa"/>
              <w:left w:w="0" w:type="dxa"/>
              <w:bottom w:w="180" w:type="dxa"/>
              <w:right w:w="0" w:type="dxa"/>
            </w:tcMar>
            <w:hideMark/>
          </w:tcPr>
          <w:p w14:paraId="1F092128" w14:textId="77777777" w:rsidR="00634F16" w:rsidRPr="00634F16" w:rsidRDefault="00634F16" w:rsidP="00634F16">
            <w:pPr>
              <w:spacing w:after="0"/>
              <w:rPr>
                <w:sz w:val="18"/>
                <w:szCs w:val="18"/>
              </w:rPr>
            </w:pPr>
            <w:r w:rsidRPr="00634F16">
              <w:rPr>
                <w:sz w:val="18"/>
                <w:szCs w:val="18"/>
              </w:rPr>
              <w:t>38,00</w:t>
            </w:r>
          </w:p>
        </w:tc>
      </w:tr>
      <w:tr w:rsidR="00634F16" w:rsidRPr="00634F16" w14:paraId="199CE62B" w14:textId="77777777">
        <w:tc>
          <w:tcPr>
            <w:tcW w:w="0" w:type="auto"/>
            <w:tcBorders>
              <w:bottom w:val="single" w:sz="6" w:space="0" w:color="DCDFE5"/>
            </w:tcBorders>
            <w:tcMar>
              <w:top w:w="180" w:type="dxa"/>
              <w:left w:w="0" w:type="dxa"/>
              <w:bottom w:w="180" w:type="dxa"/>
              <w:right w:w="240" w:type="dxa"/>
            </w:tcMar>
            <w:hideMark/>
          </w:tcPr>
          <w:p w14:paraId="7432D5B8" w14:textId="77777777" w:rsidR="00634F16" w:rsidRPr="00634F16" w:rsidRDefault="00634F16" w:rsidP="00634F16">
            <w:pPr>
              <w:spacing w:after="0"/>
              <w:rPr>
                <w:sz w:val="18"/>
                <w:szCs w:val="18"/>
              </w:rPr>
            </w:pPr>
            <w:r w:rsidRPr="00634F16">
              <w:rPr>
                <w:b/>
                <w:bCs/>
                <w:sz w:val="18"/>
                <w:szCs w:val="18"/>
              </w:rPr>
              <w:t>23234</w:t>
            </w:r>
          </w:p>
        </w:tc>
        <w:tc>
          <w:tcPr>
            <w:tcW w:w="0" w:type="auto"/>
            <w:tcBorders>
              <w:bottom w:val="single" w:sz="6" w:space="0" w:color="DCDFE5"/>
            </w:tcBorders>
            <w:tcMar>
              <w:top w:w="180" w:type="dxa"/>
              <w:left w:w="0" w:type="dxa"/>
              <w:bottom w:w="180" w:type="dxa"/>
              <w:right w:w="240" w:type="dxa"/>
            </w:tcMar>
            <w:hideMark/>
          </w:tcPr>
          <w:p w14:paraId="5D3DF40B" w14:textId="77777777" w:rsidR="00634F16" w:rsidRPr="00634F16" w:rsidRDefault="00634F16" w:rsidP="00634F16">
            <w:pPr>
              <w:spacing w:after="0"/>
              <w:rPr>
                <w:sz w:val="18"/>
                <w:szCs w:val="18"/>
              </w:rPr>
            </w:pPr>
            <w:r w:rsidRPr="00634F16">
              <w:rPr>
                <w:sz w:val="18"/>
                <w:szCs w:val="18"/>
              </w:rPr>
              <w:t>Komunalne usluge</w:t>
            </w:r>
          </w:p>
        </w:tc>
        <w:tc>
          <w:tcPr>
            <w:tcW w:w="0" w:type="auto"/>
            <w:tcBorders>
              <w:bottom w:val="single" w:sz="6" w:space="0" w:color="DCDFE5"/>
            </w:tcBorders>
            <w:tcMar>
              <w:top w:w="180" w:type="dxa"/>
              <w:left w:w="0" w:type="dxa"/>
              <w:bottom w:w="180" w:type="dxa"/>
              <w:right w:w="0" w:type="dxa"/>
            </w:tcMar>
            <w:hideMark/>
          </w:tcPr>
          <w:p w14:paraId="2CC8421C" w14:textId="77777777" w:rsidR="00634F16" w:rsidRPr="00634F16" w:rsidRDefault="00634F16" w:rsidP="00634F16">
            <w:pPr>
              <w:spacing w:after="0"/>
              <w:rPr>
                <w:sz w:val="18"/>
                <w:szCs w:val="18"/>
              </w:rPr>
            </w:pPr>
            <w:r w:rsidRPr="00634F16">
              <w:rPr>
                <w:sz w:val="18"/>
                <w:szCs w:val="18"/>
              </w:rPr>
              <w:t>19,00</w:t>
            </w:r>
          </w:p>
        </w:tc>
      </w:tr>
      <w:tr w:rsidR="00634F16" w:rsidRPr="00634F16" w14:paraId="3FCBE053" w14:textId="77777777">
        <w:tc>
          <w:tcPr>
            <w:tcW w:w="0" w:type="auto"/>
            <w:tcBorders>
              <w:bottom w:val="single" w:sz="6" w:space="0" w:color="DCDFE5"/>
            </w:tcBorders>
            <w:tcMar>
              <w:top w:w="180" w:type="dxa"/>
              <w:left w:w="0" w:type="dxa"/>
              <w:bottom w:w="180" w:type="dxa"/>
              <w:right w:w="240" w:type="dxa"/>
            </w:tcMar>
            <w:hideMark/>
          </w:tcPr>
          <w:p w14:paraId="3336C9BA" w14:textId="77777777" w:rsidR="00634F16" w:rsidRPr="00634F16" w:rsidRDefault="00634F16" w:rsidP="00634F16">
            <w:pPr>
              <w:spacing w:after="0"/>
              <w:rPr>
                <w:sz w:val="18"/>
                <w:szCs w:val="18"/>
              </w:rPr>
            </w:pPr>
            <w:r w:rsidRPr="00634F16">
              <w:rPr>
                <w:b/>
                <w:bCs/>
                <w:sz w:val="18"/>
                <w:szCs w:val="18"/>
              </w:rPr>
              <w:t>23239</w:t>
            </w:r>
          </w:p>
        </w:tc>
        <w:tc>
          <w:tcPr>
            <w:tcW w:w="0" w:type="auto"/>
            <w:tcBorders>
              <w:bottom w:val="single" w:sz="6" w:space="0" w:color="DCDFE5"/>
            </w:tcBorders>
            <w:tcMar>
              <w:top w:w="180" w:type="dxa"/>
              <w:left w:w="0" w:type="dxa"/>
              <w:bottom w:w="180" w:type="dxa"/>
              <w:right w:w="240" w:type="dxa"/>
            </w:tcMar>
            <w:hideMark/>
          </w:tcPr>
          <w:p w14:paraId="57E5B0B2" w14:textId="77777777" w:rsidR="00634F16" w:rsidRPr="00634F16" w:rsidRDefault="00634F16" w:rsidP="00634F16">
            <w:pPr>
              <w:spacing w:after="0"/>
              <w:rPr>
                <w:sz w:val="18"/>
                <w:szCs w:val="18"/>
              </w:rPr>
            </w:pPr>
            <w:r w:rsidRPr="00634F16">
              <w:rPr>
                <w:sz w:val="18"/>
                <w:szCs w:val="18"/>
              </w:rPr>
              <w:t>Ostale usluge (zajedno s nespomenutima)</w:t>
            </w:r>
          </w:p>
        </w:tc>
        <w:tc>
          <w:tcPr>
            <w:tcW w:w="0" w:type="auto"/>
            <w:tcBorders>
              <w:bottom w:val="single" w:sz="6" w:space="0" w:color="DCDFE5"/>
            </w:tcBorders>
            <w:tcMar>
              <w:top w:w="180" w:type="dxa"/>
              <w:left w:w="0" w:type="dxa"/>
              <w:bottom w:w="180" w:type="dxa"/>
              <w:right w:w="0" w:type="dxa"/>
            </w:tcMar>
            <w:hideMark/>
          </w:tcPr>
          <w:p w14:paraId="21B88B7C" w14:textId="77777777" w:rsidR="00634F16" w:rsidRPr="00634F16" w:rsidRDefault="00634F16" w:rsidP="00634F16">
            <w:pPr>
              <w:spacing w:after="0"/>
              <w:rPr>
                <w:sz w:val="18"/>
                <w:szCs w:val="18"/>
              </w:rPr>
            </w:pPr>
            <w:r w:rsidRPr="00634F16">
              <w:rPr>
                <w:sz w:val="18"/>
                <w:szCs w:val="18"/>
              </w:rPr>
              <w:t>107,84</w:t>
            </w:r>
          </w:p>
        </w:tc>
      </w:tr>
      <w:tr w:rsidR="00634F16" w:rsidRPr="00634F16" w14:paraId="08AF9450" w14:textId="77777777">
        <w:tc>
          <w:tcPr>
            <w:tcW w:w="0" w:type="auto"/>
            <w:tcBorders>
              <w:bottom w:val="single" w:sz="6" w:space="0" w:color="DCDFE5"/>
            </w:tcBorders>
            <w:tcMar>
              <w:top w:w="180" w:type="dxa"/>
              <w:left w:w="0" w:type="dxa"/>
              <w:bottom w:w="180" w:type="dxa"/>
              <w:right w:w="240" w:type="dxa"/>
            </w:tcMar>
            <w:hideMark/>
          </w:tcPr>
          <w:p w14:paraId="0B69A68C" w14:textId="77777777" w:rsidR="00634F16" w:rsidRPr="00634F16" w:rsidRDefault="00634F16" w:rsidP="00634F16">
            <w:pPr>
              <w:spacing w:after="0"/>
              <w:rPr>
                <w:sz w:val="18"/>
                <w:szCs w:val="18"/>
              </w:rPr>
            </w:pPr>
            <w:r w:rsidRPr="00634F16">
              <w:rPr>
                <w:b/>
                <w:bCs/>
                <w:sz w:val="18"/>
                <w:szCs w:val="18"/>
              </w:rPr>
              <w:t>23431</w:t>
            </w:r>
          </w:p>
        </w:tc>
        <w:tc>
          <w:tcPr>
            <w:tcW w:w="0" w:type="auto"/>
            <w:tcBorders>
              <w:bottom w:val="single" w:sz="6" w:space="0" w:color="DCDFE5"/>
            </w:tcBorders>
            <w:tcMar>
              <w:top w:w="180" w:type="dxa"/>
              <w:left w:w="0" w:type="dxa"/>
              <w:bottom w:w="180" w:type="dxa"/>
              <w:right w:w="240" w:type="dxa"/>
            </w:tcMar>
            <w:hideMark/>
          </w:tcPr>
          <w:p w14:paraId="6F270CE4" w14:textId="77777777" w:rsidR="00634F16" w:rsidRPr="00634F16" w:rsidRDefault="00634F16" w:rsidP="00634F16">
            <w:pPr>
              <w:spacing w:after="0"/>
              <w:rPr>
                <w:sz w:val="18"/>
                <w:szCs w:val="18"/>
              </w:rPr>
            </w:pPr>
            <w:r w:rsidRPr="00634F16">
              <w:rPr>
                <w:sz w:val="18"/>
                <w:szCs w:val="18"/>
              </w:rPr>
              <w:t>Bankarske usluge i platni promet</w:t>
            </w:r>
          </w:p>
        </w:tc>
        <w:tc>
          <w:tcPr>
            <w:tcW w:w="0" w:type="auto"/>
            <w:tcBorders>
              <w:bottom w:val="single" w:sz="6" w:space="0" w:color="DCDFE5"/>
            </w:tcBorders>
            <w:tcMar>
              <w:top w:w="180" w:type="dxa"/>
              <w:left w:w="0" w:type="dxa"/>
              <w:bottom w:w="180" w:type="dxa"/>
              <w:right w:w="0" w:type="dxa"/>
            </w:tcMar>
            <w:hideMark/>
          </w:tcPr>
          <w:p w14:paraId="48268455" w14:textId="77777777" w:rsidR="00634F16" w:rsidRPr="00634F16" w:rsidRDefault="00634F16" w:rsidP="00634F16">
            <w:pPr>
              <w:spacing w:after="0"/>
              <w:rPr>
                <w:sz w:val="18"/>
                <w:szCs w:val="18"/>
              </w:rPr>
            </w:pPr>
            <w:r w:rsidRPr="00634F16">
              <w:rPr>
                <w:sz w:val="18"/>
                <w:szCs w:val="18"/>
              </w:rPr>
              <w:t>58,57</w:t>
            </w:r>
          </w:p>
        </w:tc>
      </w:tr>
      <w:tr w:rsidR="00634F16" w:rsidRPr="00634F16" w14:paraId="1BE04627" w14:textId="77777777">
        <w:tc>
          <w:tcPr>
            <w:tcW w:w="0" w:type="auto"/>
            <w:tcBorders>
              <w:bottom w:val="nil"/>
            </w:tcBorders>
            <w:tcMar>
              <w:top w:w="180" w:type="dxa"/>
              <w:left w:w="0" w:type="dxa"/>
              <w:bottom w:w="180" w:type="dxa"/>
              <w:right w:w="240" w:type="dxa"/>
            </w:tcMar>
            <w:hideMark/>
          </w:tcPr>
          <w:p w14:paraId="52D975F6" w14:textId="77777777" w:rsidR="00634F16" w:rsidRPr="00634F16" w:rsidRDefault="00634F16" w:rsidP="00634F16">
            <w:pPr>
              <w:spacing w:after="0"/>
              <w:rPr>
                <w:sz w:val="18"/>
                <w:szCs w:val="18"/>
              </w:rPr>
            </w:pPr>
            <w:r w:rsidRPr="00634F16">
              <w:rPr>
                <w:b/>
                <w:bCs/>
                <w:sz w:val="18"/>
                <w:szCs w:val="18"/>
              </w:rPr>
              <w:t>UKUPNO</w:t>
            </w:r>
          </w:p>
        </w:tc>
        <w:tc>
          <w:tcPr>
            <w:tcW w:w="0" w:type="auto"/>
            <w:tcBorders>
              <w:bottom w:val="nil"/>
            </w:tcBorders>
            <w:tcMar>
              <w:top w:w="180" w:type="dxa"/>
              <w:left w:w="0" w:type="dxa"/>
              <w:bottom w:w="180" w:type="dxa"/>
              <w:right w:w="240" w:type="dxa"/>
            </w:tcMar>
            <w:hideMark/>
          </w:tcPr>
          <w:p w14:paraId="7B8F4158" w14:textId="77777777" w:rsidR="00634F16" w:rsidRPr="00634F16" w:rsidRDefault="00634F16" w:rsidP="00634F16">
            <w:pPr>
              <w:spacing w:after="0"/>
              <w:rPr>
                <w:sz w:val="18"/>
                <w:szCs w:val="18"/>
              </w:rPr>
            </w:pPr>
          </w:p>
        </w:tc>
        <w:tc>
          <w:tcPr>
            <w:tcW w:w="0" w:type="auto"/>
            <w:tcBorders>
              <w:bottom w:val="nil"/>
            </w:tcBorders>
            <w:tcMar>
              <w:top w:w="180" w:type="dxa"/>
              <w:left w:w="0" w:type="dxa"/>
              <w:bottom w:w="180" w:type="dxa"/>
              <w:right w:w="0" w:type="dxa"/>
            </w:tcMar>
            <w:hideMark/>
          </w:tcPr>
          <w:p w14:paraId="41CACB26" w14:textId="77777777" w:rsidR="00634F16" w:rsidRPr="00634F16" w:rsidRDefault="00634F16" w:rsidP="00634F16">
            <w:pPr>
              <w:spacing w:after="0"/>
              <w:rPr>
                <w:sz w:val="18"/>
                <w:szCs w:val="18"/>
              </w:rPr>
            </w:pPr>
            <w:r w:rsidRPr="00634F16">
              <w:rPr>
                <w:b/>
                <w:bCs/>
                <w:sz w:val="18"/>
                <w:szCs w:val="18"/>
              </w:rPr>
              <w:t>926,24</w:t>
            </w:r>
            <w:r w:rsidRPr="00634F16">
              <w:rPr>
                <w:sz w:val="18"/>
                <w:szCs w:val="18"/>
              </w:rPr>
              <w:t>*</w:t>
            </w:r>
          </w:p>
        </w:tc>
      </w:tr>
    </w:tbl>
    <w:p w14:paraId="3D964EBC" w14:textId="77777777" w:rsidR="00634F16" w:rsidRDefault="00634F16">
      <w:pPr>
        <w:spacing w:after="0"/>
      </w:pPr>
    </w:p>
    <w:p w14:paraId="1414CC40" w14:textId="77777777" w:rsidR="00634F16" w:rsidRDefault="00634F16">
      <w:pPr>
        <w:spacing w:after="0"/>
      </w:pPr>
    </w:p>
    <w:p w14:paraId="50C83D39" w14:textId="77777777" w:rsidR="0043400B"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3400B" w14:paraId="16F12FF0" w14:textId="77777777" w:rsidTr="00634F16">
        <w:tblPrEx>
          <w:tblCellMar>
            <w:top w:w="0" w:type="dxa"/>
            <w:bottom w:w="0" w:type="dxa"/>
          </w:tblCellMar>
        </w:tblPrEx>
        <w:trPr>
          <w:cantSplit/>
        </w:trPr>
        <w:tc>
          <w:tcPr>
            <w:tcW w:w="883" w:type="dxa"/>
            <w:shd w:val="clear" w:color="auto" w:fill="E7F0F9"/>
            <w:tcMar>
              <w:top w:w="0" w:type="dxa"/>
              <w:bottom w:w="0" w:type="dxa"/>
            </w:tcMar>
            <w:vAlign w:val="center"/>
          </w:tcPr>
          <w:p w14:paraId="2CE1847B" w14:textId="77777777" w:rsidR="0043400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4008" w:type="dxa"/>
            <w:shd w:val="clear" w:color="auto" w:fill="E7F0F9"/>
            <w:tcMar>
              <w:top w:w="0" w:type="dxa"/>
              <w:bottom w:w="0" w:type="dxa"/>
            </w:tcMar>
            <w:vAlign w:val="center"/>
          </w:tcPr>
          <w:p w14:paraId="62A4352E" w14:textId="77777777" w:rsidR="0043400B" w:rsidRDefault="00000000">
            <w:pPr>
              <w:keepNext/>
              <w:keepLines/>
              <w:spacing w:after="0" w:line="240" w:lineRule="auto"/>
              <w:jc w:val="center"/>
            </w:pPr>
            <w:r>
              <w:rPr>
                <w:b/>
                <w:sz w:val="18"/>
              </w:rPr>
              <w:t>Opis stavke</w:t>
            </w:r>
          </w:p>
        </w:tc>
        <w:tc>
          <w:tcPr>
            <w:tcW w:w="882" w:type="dxa"/>
            <w:shd w:val="clear" w:color="auto" w:fill="E7F0F9"/>
            <w:tcMar>
              <w:top w:w="0" w:type="dxa"/>
              <w:bottom w:w="0" w:type="dxa"/>
            </w:tcMar>
            <w:vAlign w:val="center"/>
          </w:tcPr>
          <w:p w14:paraId="5098FF06" w14:textId="77777777" w:rsidR="0043400B" w:rsidRDefault="00000000">
            <w:pPr>
              <w:keepNext/>
              <w:keepLines/>
              <w:spacing w:after="0" w:line="240" w:lineRule="auto"/>
              <w:jc w:val="center"/>
            </w:pPr>
            <w:r>
              <w:rPr>
                <w:b/>
                <w:sz w:val="18"/>
              </w:rPr>
              <w:t>Šifra</w:t>
            </w:r>
          </w:p>
        </w:tc>
        <w:tc>
          <w:tcPr>
            <w:tcW w:w="2345" w:type="dxa"/>
            <w:shd w:val="clear" w:color="auto" w:fill="E7F0F9"/>
            <w:tcMar>
              <w:top w:w="0" w:type="dxa"/>
              <w:bottom w:w="0" w:type="dxa"/>
            </w:tcMar>
            <w:vAlign w:val="center"/>
          </w:tcPr>
          <w:p w14:paraId="187C76CD" w14:textId="77777777" w:rsidR="0043400B" w:rsidRDefault="00000000">
            <w:pPr>
              <w:keepNext/>
              <w:keepLines/>
              <w:spacing w:after="0" w:line="240" w:lineRule="auto"/>
              <w:jc w:val="center"/>
            </w:pPr>
            <w:r>
              <w:rPr>
                <w:b/>
                <w:sz w:val="18"/>
              </w:rPr>
              <w:t>Iznos</w:t>
            </w:r>
          </w:p>
        </w:tc>
        <w:tc>
          <w:tcPr>
            <w:tcW w:w="882" w:type="dxa"/>
            <w:shd w:val="clear" w:color="auto" w:fill="E7F0F9"/>
            <w:tcMar>
              <w:top w:w="0" w:type="dxa"/>
              <w:bottom w:w="0" w:type="dxa"/>
            </w:tcMar>
            <w:vAlign w:val="center"/>
          </w:tcPr>
          <w:p w14:paraId="79E66658" w14:textId="77777777" w:rsidR="0043400B" w:rsidRDefault="00000000">
            <w:pPr>
              <w:keepNext/>
              <w:keepLines/>
              <w:spacing w:after="0" w:line="240" w:lineRule="auto"/>
              <w:jc w:val="center"/>
            </w:pPr>
            <w:r>
              <w:rPr>
                <w:b/>
                <w:sz w:val="18"/>
              </w:rPr>
              <w:t>Indeks (%)</w:t>
            </w:r>
          </w:p>
        </w:tc>
      </w:tr>
      <w:tr w:rsidR="0043400B" w14:paraId="37C1802E" w14:textId="77777777" w:rsidTr="00634F16">
        <w:tblPrEx>
          <w:tblCellMar>
            <w:top w:w="0" w:type="dxa"/>
            <w:bottom w:w="0" w:type="dxa"/>
          </w:tblCellMar>
        </w:tblPrEx>
        <w:trPr>
          <w:cantSplit/>
          <w:trHeight w:val="560"/>
        </w:trPr>
        <w:tc>
          <w:tcPr>
            <w:tcW w:w="883" w:type="dxa"/>
            <w:tcMar>
              <w:top w:w="0" w:type="dxa"/>
              <w:bottom w:w="0" w:type="dxa"/>
            </w:tcMar>
            <w:vAlign w:val="center"/>
          </w:tcPr>
          <w:p w14:paraId="3DC8C84E" w14:textId="77777777" w:rsidR="0043400B" w:rsidRDefault="0043400B">
            <w:pPr>
              <w:keepNext/>
              <w:keepLines/>
              <w:spacing w:after="0" w:line="240" w:lineRule="auto"/>
            </w:pPr>
          </w:p>
        </w:tc>
        <w:tc>
          <w:tcPr>
            <w:tcW w:w="4008" w:type="dxa"/>
            <w:tcMar>
              <w:top w:w="0" w:type="dxa"/>
              <w:bottom w:w="0" w:type="dxa"/>
            </w:tcMar>
            <w:vAlign w:val="center"/>
          </w:tcPr>
          <w:p w14:paraId="5AB92210" w14:textId="77777777" w:rsidR="0043400B" w:rsidRDefault="00000000">
            <w:pPr>
              <w:keepNext/>
              <w:keepLines/>
              <w:spacing w:after="0" w:line="240" w:lineRule="auto"/>
            </w:pPr>
            <w:r>
              <w:rPr>
                <w:sz w:val="18"/>
              </w:rPr>
              <w:t>Stanje nedospjelih obveza na kraju izvještajnog razdoblja (šifre V010 + ND23 + ND24 + 'ND dio 25,26' + ND27)</w:t>
            </w:r>
          </w:p>
        </w:tc>
        <w:tc>
          <w:tcPr>
            <w:tcW w:w="882" w:type="dxa"/>
            <w:tcMar>
              <w:top w:w="0" w:type="dxa"/>
              <w:bottom w:w="0" w:type="dxa"/>
            </w:tcMar>
            <w:vAlign w:val="center"/>
          </w:tcPr>
          <w:p w14:paraId="0B5CB5D4" w14:textId="77777777" w:rsidR="0043400B" w:rsidRDefault="00000000">
            <w:pPr>
              <w:keepNext/>
              <w:keepLines/>
              <w:spacing w:after="0" w:line="240" w:lineRule="auto"/>
            </w:pPr>
            <w:r>
              <w:rPr>
                <w:sz w:val="18"/>
              </w:rPr>
              <w:t>V009</w:t>
            </w:r>
          </w:p>
        </w:tc>
        <w:tc>
          <w:tcPr>
            <w:tcW w:w="2345" w:type="dxa"/>
            <w:tcMar>
              <w:top w:w="0" w:type="dxa"/>
              <w:bottom w:w="0" w:type="dxa"/>
            </w:tcMar>
            <w:vAlign w:val="center"/>
          </w:tcPr>
          <w:p w14:paraId="7EB83CB6" w14:textId="77777777" w:rsidR="0043400B" w:rsidRDefault="00000000">
            <w:pPr>
              <w:keepNext/>
              <w:keepLines/>
              <w:spacing w:after="0" w:line="240" w:lineRule="auto"/>
              <w:jc w:val="right"/>
            </w:pPr>
            <w:r>
              <w:rPr>
                <w:sz w:val="18"/>
              </w:rPr>
              <w:t>2.752,79</w:t>
            </w:r>
          </w:p>
        </w:tc>
        <w:tc>
          <w:tcPr>
            <w:tcW w:w="882" w:type="dxa"/>
            <w:tcMar>
              <w:top w:w="0" w:type="dxa"/>
              <w:bottom w:w="0" w:type="dxa"/>
            </w:tcMar>
            <w:vAlign w:val="center"/>
          </w:tcPr>
          <w:p w14:paraId="7CFE02E2" w14:textId="77777777" w:rsidR="0043400B" w:rsidRDefault="00000000">
            <w:pPr>
              <w:keepNext/>
              <w:keepLines/>
              <w:spacing w:after="0" w:line="240" w:lineRule="auto"/>
              <w:jc w:val="right"/>
            </w:pPr>
            <w:r>
              <w:rPr>
                <w:sz w:val="18"/>
              </w:rPr>
              <w:t>-</w:t>
            </w:r>
          </w:p>
        </w:tc>
      </w:tr>
    </w:tbl>
    <w:p w14:paraId="3554296F" w14:textId="77777777" w:rsidR="00634F16" w:rsidRDefault="00634F16" w:rsidP="00634F16">
      <w:pPr>
        <w:spacing w:after="0"/>
        <w:rPr>
          <w:b/>
          <w:bCs/>
          <w:sz w:val="18"/>
          <w:szCs w:val="18"/>
        </w:rPr>
      </w:pPr>
    </w:p>
    <w:p w14:paraId="6B3474D4" w14:textId="77777777" w:rsidR="00634F16" w:rsidRDefault="00634F16" w:rsidP="00634F16">
      <w:pPr>
        <w:spacing w:after="0"/>
        <w:rPr>
          <w:b/>
          <w:bCs/>
          <w:sz w:val="18"/>
          <w:szCs w:val="18"/>
        </w:rPr>
      </w:pPr>
    </w:p>
    <w:p w14:paraId="1FD538E1" w14:textId="78C65193" w:rsidR="00634F16" w:rsidRPr="00634F16" w:rsidRDefault="00634F16" w:rsidP="00634F16">
      <w:pPr>
        <w:spacing w:after="0"/>
        <w:rPr>
          <w:b/>
          <w:bCs/>
          <w:sz w:val="18"/>
          <w:szCs w:val="18"/>
        </w:rPr>
      </w:pPr>
      <w:r w:rsidRPr="00634F16">
        <w:rPr>
          <w:b/>
          <w:bCs/>
          <w:sz w:val="18"/>
          <w:szCs w:val="18"/>
        </w:rPr>
        <w:t>1. Obveze za zaposlene (Plaća za prosinac 2025.)</w:t>
      </w:r>
    </w:p>
    <w:p w14:paraId="51F3E05C" w14:textId="77777777" w:rsidR="00634F16" w:rsidRPr="00634F16" w:rsidRDefault="00634F16" w:rsidP="00634F16">
      <w:pPr>
        <w:spacing w:after="0"/>
        <w:rPr>
          <w:sz w:val="18"/>
          <w:szCs w:val="18"/>
        </w:rPr>
      </w:pPr>
      <w:r w:rsidRPr="00634F16">
        <w:rPr>
          <w:sz w:val="18"/>
          <w:szCs w:val="18"/>
        </w:rPr>
        <w:t>Ove obveze predstavljaju trošak osoblja koji dospijeva na naplatu u siječnju 2026.</w:t>
      </w:r>
    </w:p>
    <w:tbl>
      <w:tblPr>
        <w:tblW w:w="9780" w:type="dxa"/>
        <w:tblCellMar>
          <w:top w:w="15" w:type="dxa"/>
          <w:left w:w="15" w:type="dxa"/>
          <w:bottom w:w="15" w:type="dxa"/>
          <w:right w:w="15" w:type="dxa"/>
        </w:tblCellMar>
        <w:tblLook w:val="04A0" w:firstRow="1" w:lastRow="0" w:firstColumn="1" w:lastColumn="0" w:noHBand="0" w:noVBand="1"/>
      </w:tblPr>
      <w:tblGrid>
        <w:gridCol w:w="2434"/>
        <w:gridCol w:w="6160"/>
        <w:gridCol w:w="1186"/>
      </w:tblGrid>
      <w:tr w:rsidR="00634F16" w:rsidRPr="00634F16" w14:paraId="58A91237" w14:textId="77777777">
        <w:tc>
          <w:tcPr>
            <w:tcW w:w="0" w:type="auto"/>
            <w:tcBorders>
              <w:bottom w:val="single" w:sz="6" w:space="0" w:color="DCDFE5"/>
            </w:tcBorders>
            <w:tcMar>
              <w:top w:w="120" w:type="dxa"/>
              <w:left w:w="0" w:type="dxa"/>
              <w:bottom w:w="120" w:type="dxa"/>
              <w:right w:w="240" w:type="dxa"/>
            </w:tcMar>
            <w:hideMark/>
          </w:tcPr>
          <w:p w14:paraId="13F31459" w14:textId="77777777" w:rsidR="00634F16" w:rsidRPr="00634F16" w:rsidRDefault="00634F16" w:rsidP="00634F16">
            <w:pPr>
              <w:spacing w:after="0"/>
              <w:rPr>
                <w:b/>
                <w:bCs/>
                <w:sz w:val="18"/>
                <w:szCs w:val="18"/>
              </w:rPr>
            </w:pPr>
            <w:r w:rsidRPr="00634F16">
              <w:rPr>
                <w:b/>
                <w:bCs/>
                <w:sz w:val="18"/>
                <w:szCs w:val="18"/>
              </w:rPr>
              <w:lastRenderedPageBreak/>
              <w:t>Konto</w:t>
            </w:r>
          </w:p>
        </w:tc>
        <w:tc>
          <w:tcPr>
            <w:tcW w:w="0" w:type="auto"/>
            <w:tcBorders>
              <w:bottom w:val="single" w:sz="6" w:space="0" w:color="DCDFE5"/>
            </w:tcBorders>
            <w:tcMar>
              <w:top w:w="120" w:type="dxa"/>
              <w:left w:w="0" w:type="dxa"/>
              <w:bottom w:w="120" w:type="dxa"/>
              <w:right w:w="240" w:type="dxa"/>
            </w:tcMar>
            <w:hideMark/>
          </w:tcPr>
          <w:p w14:paraId="6F605586" w14:textId="77777777" w:rsidR="00634F16" w:rsidRPr="00634F16" w:rsidRDefault="00634F16" w:rsidP="00634F16">
            <w:pPr>
              <w:spacing w:after="0"/>
              <w:rPr>
                <w:b/>
                <w:bCs/>
                <w:sz w:val="18"/>
                <w:szCs w:val="18"/>
              </w:rPr>
            </w:pPr>
            <w:r w:rsidRPr="00634F16">
              <w:rPr>
                <w:b/>
                <w:bCs/>
                <w:sz w:val="18"/>
                <w:szCs w:val="18"/>
              </w:rPr>
              <w:t>Naziv obveze</w:t>
            </w:r>
          </w:p>
        </w:tc>
        <w:tc>
          <w:tcPr>
            <w:tcW w:w="0" w:type="auto"/>
            <w:tcBorders>
              <w:bottom w:val="single" w:sz="6" w:space="0" w:color="DCDFE5"/>
            </w:tcBorders>
            <w:tcMar>
              <w:top w:w="120" w:type="dxa"/>
              <w:left w:w="0" w:type="dxa"/>
              <w:bottom w:w="120" w:type="dxa"/>
              <w:right w:w="0" w:type="dxa"/>
            </w:tcMar>
            <w:hideMark/>
          </w:tcPr>
          <w:p w14:paraId="5DBDE28D" w14:textId="77777777" w:rsidR="00634F16" w:rsidRPr="00634F16" w:rsidRDefault="00634F16" w:rsidP="00634F16">
            <w:pPr>
              <w:spacing w:after="0"/>
              <w:rPr>
                <w:b/>
                <w:bCs/>
                <w:sz w:val="18"/>
                <w:szCs w:val="18"/>
              </w:rPr>
            </w:pPr>
            <w:r w:rsidRPr="00634F16">
              <w:rPr>
                <w:b/>
                <w:bCs/>
                <w:sz w:val="18"/>
                <w:szCs w:val="18"/>
              </w:rPr>
              <w:t>Iznos (€)</w:t>
            </w:r>
          </w:p>
        </w:tc>
      </w:tr>
      <w:tr w:rsidR="00634F16" w:rsidRPr="00634F16" w14:paraId="37F7F8E4" w14:textId="77777777">
        <w:tc>
          <w:tcPr>
            <w:tcW w:w="0" w:type="auto"/>
            <w:tcBorders>
              <w:bottom w:val="single" w:sz="6" w:space="0" w:color="DCDFE5"/>
            </w:tcBorders>
            <w:tcMar>
              <w:top w:w="180" w:type="dxa"/>
              <w:left w:w="0" w:type="dxa"/>
              <w:bottom w:w="180" w:type="dxa"/>
              <w:right w:w="240" w:type="dxa"/>
            </w:tcMar>
            <w:hideMark/>
          </w:tcPr>
          <w:p w14:paraId="692C9D66" w14:textId="77777777" w:rsidR="00634F16" w:rsidRPr="00634F16" w:rsidRDefault="00634F16" w:rsidP="00634F16">
            <w:pPr>
              <w:spacing w:after="0"/>
              <w:rPr>
                <w:sz w:val="18"/>
                <w:szCs w:val="18"/>
              </w:rPr>
            </w:pPr>
            <w:r w:rsidRPr="00634F16">
              <w:rPr>
                <w:b/>
                <w:bCs/>
                <w:sz w:val="18"/>
                <w:szCs w:val="18"/>
              </w:rPr>
              <w:t>23111</w:t>
            </w:r>
          </w:p>
        </w:tc>
        <w:tc>
          <w:tcPr>
            <w:tcW w:w="0" w:type="auto"/>
            <w:tcBorders>
              <w:bottom w:val="single" w:sz="6" w:space="0" w:color="DCDFE5"/>
            </w:tcBorders>
            <w:tcMar>
              <w:top w:w="180" w:type="dxa"/>
              <w:left w:w="0" w:type="dxa"/>
              <w:bottom w:w="180" w:type="dxa"/>
              <w:right w:w="240" w:type="dxa"/>
            </w:tcMar>
            <w:hideMark/>
          </w:tcPr>
          <w:p w14:paraId="6F9F2E97" w14:textId="77777777" w:rsidR="00634F16" w:rsidRPr="00634F16" w:rsidRDefault="00634F16" w:rsidP="00634F16">
            <w:pPr>
              <w:spacing w:after="0"/>
              <w:rPr>
                <w:sz w:val="18"/>
                <w:szCs w:val="18"/>
              </w:rPr>
            </w:pPr>
            <w:r w:rsidRPr="00634F16">
              <w:rPr>
                <w:sz w:val="18"/>
                <w:szCs w:val="18"/>
              </w:rPr>
              <w:t>Obveze za zaposlene (neto + porez)</w:t>
            </w:r>
          </w:p>
        </w:tc>
        <w:tc>
          <w:tcPr>
            <w:tcW w:w="0" w:type="auto"/>
            <w:tcBorders>
              <w:bottom w:val="single" w:sz="6" w:space="0" w:color="DCDFE5"/>
            </w:tcBorders>
            <w:tcMar>
              <w:top w:w="180" w:type="dxa"/>
              <w:left w:w="0" w:type="dxa"/>
              <w:bottom w:w="180" w:type="dxa"/>
              <w:right w:w="0" w:type="dxa"/>
            </w:tcMar>
            <w:hideMark/>
          </w:tcPr>
          <w:p w14:paraId="48CB3D35" w14:textId="77777777" w:rsidR="00634F16" w:rsidRPr="00634F16" w:rsidRDefault="00634F16" w:rsidP="00634F16">
            <w:pPr>
              <w:spacing w:after="0"/>
              <w:rPr>
                <w:sz w:val="18"/>
                <w:szCs w:val="18"/>
              </w:rPr>
            </w:pPr>
            <w:r w:rsidRPr="00634F16">
              <w:rPr>
                <w:sz w:val="18"/>
                <w:szCs w:val="18"/>
              </w:rPr>
              <w:t>1.597,69</w:t>
            </w:r>
          </w:p>
        </w:tc>
      </w:tr>
      <w:tr w:rsidR="00634F16" w:rsidRPr="00634F16" w14:paraId="0C2E15E9" w14:textId="77777777">
        <w:tc>
          <w:tcPr>
            <w:tcW w:w="0" w:type="auto"/>
            <w:tcBorders>
              <w:bottom w:val="single" w:sz="6" w:space="0" w:color="DCDFE5"/>
            </w:tcBorders>
            <w:tcMar>
              <w:top w:w="180" w:type="dxa"/>
              <w:left w:w="0" w:type="dxa"/>
              <w:bottom w:w="180" w:type="dxa"/>
              <w:right w:w="240" w:type="dxa"/>
            </w:tcMar>
            <w:hideMark/>
          </w:tcPr>
          <w:p w14:paraId="3F14061D" w14:textId="77777777" w:rsidR="00634F16" w:rsidRPr="00634F16" w:rsidRDefault="00634F16" w:rsidP="00634F16">
            <w:pPr>
              <w:spacing w:after="0"/>
              <w:rPr>
                <w:sz w:val="18"/>
                <w:szCs w:val="18"/>
              </w:rPr>
            </w:pPr>
            <w:r w:rsidRPr="00634F16">
              <w:rPr>
                <w:b/>
                <w:bCs/>
                <w:sz w:val="18"/>
                <w:szCs w:val="18"/>
              </w:rPr>
              <w:t>23162</w:t>
            </w:r>
          </w:p>
        </w:tc>
        <w:tc>
          <w:tcPr>
            <w:tcW w:w="0" w:type="auto"/>
            <w:tcBorders>
              <w:bottom w:val="single" w:sz="6" w:space="0" w:color="DCDFE5"/>
            </w:tcBorders>
            <w:tcMar>
              <w:top w:w="180" w:type="dxa"/>
              <w:left w:w="0" w:type="dxa"/>
              <w:bottom w:w="180" w:type="dxa"/>
              <w:right w:w="240" w:type="dxa"/>
            </w:tcMar>
            <w:hideMark/>
          </w:tcPr>
          <w:p w14:paraId="7E3B64B7" w14:textId="77777777" w:rsidR="00634F16" w:rsidRPr="00634F16" w:rsidRDefault="00634F16" w:rsidP="00634F16">
            <w:pPr>
              <w:spacing w:after="0"/>
              <w:rPr>
                <w:sz w:val="18"/>
                <w:szCs w:val="18"/>
              </w:rPr>
            </w:pPr>
            <w:r w:rsidRPr="00634F16">
              <w:rPr>
                <w:sz w:val="18"/>
                <w:szCs w:val="18"/>
              </w:rPr>
              <w:t>Doprinos za zdravstveno osiguranje (16,5%)</w:t>
            </w:r>
          </w:p>
        </w:tc>
        <w:tc>
          <w:tcPr>
            <w:tcW w:w="0" w:type="auto"/>
            <w:tcBorders>
              <w:bottom w:val="single" w:sz="6" w:space="0" w:color="DCDFE5"/>
            </w:tcBorders>
            <w:tcMar>
              <w:top w:w="180" w:type="dxa"/>
              <w:left w:w="0" w:type="dxa"/>
              <w:bottom w:w="180" w:type="dxa"/>
              <w:right w:w="0" w:type="dxa"/>
            </w:tcMar>
            <w:hideMark/>
          </w:tcPr>
          <w:p w14:paraId="4793CD0C" w14:textId="77777777" w:rsidR="00634F16" w:rsidRPr="00634F16" w:rsidRDefault="00634F16" w:rsidP="00634F16">
            <w:pPr>
              <w:spacing w:after="0"/>
              <w:rPr>
                <w:sz w:val="18"/>
                <w:szCs w:val="18"/>
              </w:rPr>
            </w:pPr>
            <w:r w:rsidRPr="00634F16">
              <w:rPr>
                <w:sz w:val="18"/>
                <w:szCs w:val="18"/>
              </w:rPr>
              <w:t>266,47</w:t>
            </w:r>
          </w:p>
        </w:tc>
      </w:tr>
      <w:tr w:rsidR="00634F16" w:rsidRPr="00634F16" w14:paraId="3280FA95" w14:textId="77777777">
        <w:tc>
          <w:tcPr>
            <w:tcW w:w="0" w:type="auto"/>
            <w:tcBorders>
              <w:bottom w:val="nil"/>
            </w:tcBorders>
            <w:tcMar>
              <w:top w:w="180" w:type="dxa"/>
              <w:left w:w="0" w:type="dxa"/>
              <w:bottom w:w="180" w:type="dxa"/>
              <w:right w:w="240" w:type="dxa"/>
            </w:tcMar>
            <w:hideMark/>
          </w:tcPr>
          <w:p w14:paraId="5F0B493C" w14:textId="77777777" w:rsidR="00634F16" w:rsidRPr="00634F16" w:rsidRDefault="00634F16" w:rsidP="00634F16">
            <w:pPr>
              <w:spacing w:after="0"/>
              <w:rPr>
                <w:sz w:val="18"/>
                <w:szCs w:val="18"/>
              </w:rPr>
            </w:pPr>
            <w:r w:rsidRPr="00634F16">
              <w:rPr>
                <w:b/>
                <w:bCs/>
                <w:sz w:val="18"/>
                <w:szCs w:val="18"/>
              </w:rPr>
              <w:t>UKUPNO (31)</w:t>
            </w:r>
          </w:p>
        </w:tc>
        <w:tc>
          <w:tcPr>
            <w:tcW w:w="0" w:type="auto"/>
            <w:tcBorders>
              <w:bottom w:val="nil"/>
            </w:tcBorders>
            <w:tcMar>
              <w:top w:w="180" w:type="dxa"/>
              <w:left w:w="0" w:type="dxa"/>
              <w:bottom w:w="180" w:type="dxa"/>
              <w:right w:w="240" w:type="dxa"/>
            </w:tcMar>
            <w:hideMark/>
          </w:tcPr>
          <w:p w14:paraId="4F056879" w14:textId="77777777" w:rsidR="00634F16" w:rsidRPr="00634F16" w:rsidRDefault="00634F16" w:rsidP="00634F16">
            <w:pPr>
              <w:spacing w:after="0"/>
              <w:rPr>
                <w:sz w:val="18"/>
                <w:szCs w:val="18"/>
              </w:rPr>
            </w:pPr>
          </w:p>
        </w:tc>
        <w:tc>
          <w:tcPr>
            <w:tcW w:w="0" w:type="auto"/>
            <w:tcBorders>
              <w:bottom w:val="nil"/>
            </w:tcBorders>
            <w:tcMar>
              <w:top w:w="180" w:type="dxa"/>
              <w:left w:w="0" w:type="dxa"/>
              <w:bottom w:w="180" w:type="dxa"/>
              <w:right w:w="0" w:type="dxa"/>
            </w:tcMar>
            <w:hideMark/>
          </w:tcPr>
          <w:p w14:paraId="1D85D675" w14:textId="77777777" w:rsidR="00634F16" w:rsidRPr="00634F16" w:rsidRDefault="00634F16" w:rsidP="00634F16">
            <w:pPr>
              <w:spacing w:after="0"/>
              <w:rPr>
                <w:sz w:val="18"/>
                <w:szCs w:val="18"/>
              </w:rPr>
            </w:pPr>
            <w:r w:rsidRPr="00634F16">
              <w:rPr>
                <w:b/>
                <w:bCs/>
                <w:sz w:val="18"/>
                <w:szCs w:val="18"/>
              </w:rPr>
              <w:t>1.864,16</w:t>
            </w:r>
          </w:p>
        </w:tc>
      </w:tr>
    </w:tbl>
    <w:p w14:paraId="1919E2D3" w14:textId="77777777" w:rsidR="00634F16" w:rsidRPr="00634F16" w:rsidRDefault="00634F16" w:rsidP="00634F16">
      <w:pPr>
        <w:spacing w:after="0"/>
        <w:rPr>
          <w:b/>
          <w:bCs/>
          <w:sz w:val="18"/>
          <w:szCs w:val="18"/>
        </w:rPr>
      </w:pPr>
      <w:r w:rsidRPr="00634F16">
        <w:rPr>
          <w:b/>
          <w:bCs/>
          <w:sz w:val="18"/>
          <w:szCs w:val="18"/>
        </w:rPr>
        <w:t>2. Obveze za materijalne rashode (Nedospjele obveze)</w:t>
      </w:r>
    </w:p>
    <w:p w14:paraId="111F7114" w14:textId="77777777" w:rsidR="00634F16" w:rsidRPr="00634F16" w:rsidRDefault="00634F16" w:rsidP="00634F16">
      <w:pPr>
        <w:spacing w:after="0"/>
        <w:rPr>
          <w:sz w:val="18"/>
          <w:szCs w:val="18"/>
        </w:rPr>
      </w:pPr>
      <w:r w:rsidRPr="00634F16">
        <w:rPr>
          <w:sz w:val="18"/>
          <w:szCs w:val="18"/>
        </w:rPr>
        <w:t>Ovo su računi za usluge i energiju izvršene u 2025., a koji će se plaćati u idućoj godini.</w:t>
      </w:r>
    </w:p>
    <w:tbl>
      <w:tblPr>
        <w:tblW w:w="9780" w:type="dxa"/>
        <w:tblCellMar>
          <w:top w:w="15" w:type="dxa"/>
          <w:left w:w="15" w:type="dxa"/>
          <w:bottom w:w="15" w:type="dxa"/>
          <w:right w:w="15" w:type="dxa"/>
        </w:tblCellMar>
        <w:tblLook w:val="04A0" w:firstRow="1" w:lastRow="0" w:firstColumn="1" w:lastColumn="0" w:noHBand="0" w:noVBand="1"/>
      </w:tblPr>
      <w:tblGrid>
        <w:gridCol w:w="2850"/>
        <w:gridCol w:w="5542"/>
        <w:gridCol w:w="1388"/>
      </w:tblGrid>
      <w:tr w:rsidR="00634F16" w:rsidRPr="00634F16" w14:paraId="219742DE" w14:textId="77777777">
        <w:tc>
          <w:tcPr>
            <w:tcW w:w="0" w:type="auto"/>
            <w:tcBorders>
              <w:bottom w:val="single" w:sz="6" w:space="0" w:color="DCDFE5"/>
            </w:tcBorders>
            <w:tcMar>
              <w:top w:w="120" w:type="dxa"/>
              <w:left w:w="0" w:type="dxa"/>
              <w:bottom w:w="120" w:type="dxa"/>
              <w:right w:w="240" w:type="dxa"/>
            </w:tcMar>
            <w:hideMark/>
          </w:tcPr>
          <w:p w14:paraId="7E41B71F" w14:textId="77777777" w:rsidR="00634F16" w:rsidRPr="00634F16" w:rsidRDefault="00634F16" w:rsidP="00634F16">
            <w:pPr>
              <w:spacing w:after="0"/>
              <w:rPr>
                <w:b/>
                <w:bCs/>
                <w:sz w:val="18"/>
                <w:szCs w:val="18"/>
              </w:rPr>
            </w:pPr>
            <w:r w:rsidRPr="00634F16">
              <w:rPr>
                <w:b/>
                <w:bCs/>
                <w:sz w:val="18"/>
                <w:szCs w:val="18"/>
              </w:rPr>
              <w:t>Konto</w:t>
            </w:r>
          </w:p>
        </w:tc>
        <w:tc>
          <w:tcPr>
            <w:tcW w:w="0" w:type="auto"/>
            <w:tcBorders>
              <w:bottom w:val="single" w:sz="6" w:space="0" w:color="DCDFE5"/>
            </w:tcBorders>
            <w:tcMar>
              <w:top w:w="120" w:type="dxa"/>
              <w:left w:w="0" w:type="dxa"/>
              <w:bottom w:w="120" w:type="dxa"/>
              <w:right w:w="240" w:type="dxa"/>
            </w:tcMar>
            <w:hideMark/>
          </w:tcPr>
          <w:p w14:paraId="3A1B1C92" w14:textId="77777777" w:rsidR="00634F16" w:rsidRPr="00634F16" w:rsidRDefault="00634F16" w:rsidP="00634F16">
            <w:pPr>
              <w:spacing w:after="0"/>
              <w:rPr>
                <w:b/>
                <w:bCs/>
                <w:sz w:val="18"/>
                <w:szCs w:val="18"/>
              </w:rPr>
            </w:pPr>
            <w:r w:rsidRPr="00634F16">
              <w:rPr>
                <w:b/>
                <w:bCs/>
                <w:sz w:val="18"/>
                <w:szCs w:val="18"/>
              </w:rPr>
              <w:t>Vrsta materijalnog rashoda</w:t>
            </w:r>
          </w:p>
        </w:tc>
        <w:tc>
          <w:tcPr>
            <w:tcW w:w="0" w:type="auto"/>
            <w:tcBorders>
              <w:bottom w:val="single" w:sz="6" w:space="0" w:color="DCDFE5"/>
            </w:tcBorders>
            <w:tcMar>
              <w:top w:w="120" w:type="dxa"/>
              <w:left w:w="0" w:type="dxa"/>
              <w:bottom w:w="120" w:type="dxa"/>
              <w:right w:w="0" w:type="dxa"/>
            </w:tcMar>
            <w:hideMark/>
          </w:tcPr>
          <w:p w14:paraId="3D23CDB4" w14:textId="77777777" w:rsidR="00634F16" w:rsidRPr="00634F16" w:rsidRDefault="00634F16" w:rsidP="00634F16">
            <w:pPr>
              <w:spacing w:after="0"/>
              <w:rPr>
                <w:b/>
                <w:bCs/>
                <w:sz w:val="18"/>
                <w:szCs w:val="18"/>
              </w:rPr>
            </w:pPr>
            <w:r w:rsidRPr="00634F16">
              <w:rPr>
                <w:b/>
                <w:bCs/>
                <w:sz w:val="18"/>
                <w:szCs w:val="18"/>
              </w:rPr>
              <w:t>Iznos (€)</w:t>
            </w:r>
          </w:p>
        </w:tc>
      </w:tr>
      <w:tr w:rsidR="00634F16" w:rsidRPr="00634F16" w14:paraId="5CDC1EBD" w14:textId="77777777">
        <w:tc>
          <w:tcPr>
            <w:tcW w:w="0" w:type="auto"/>
            <w:tcBorders>
              <w:bottom w:val="single" w:sz="6" w:space="0" w:color="DCDFE5"/>
            </w:tcBorders>
            <w:tcMar>
              <w:top w:w="180" w:type="dxa"/>
              <w:left w:w="0" w:type="dxa"/>
              <w:bottom w:w="180" w:type="dxa"/>
              <w:right w:w="240" w:type="dxa"/>
            </w:tcMar>
            <w:hideMark/>
          </w:tcPr>
          <w:p w14:paraId="42ECF545" w14:textId="77777777" w:rsidR="00634F16" w:rsidRPr="00634F16" w:rsidRDefault="00634F16" w:rsidP="00634F16">
            <w:pPr>
              <w:spacing w:after="0"/>
              <w:rPr>
                <w:sz w:val="18"/>
                <w:szCs w:val="18"/>
              </w:rPr>
            </w:pPr>
            <w:r w:rsidRPr="00634F16">
              <w:rPr>
                <w:b/>
                <w:bCs/>
                <w:sz w:val="18"/>
                <w:szCs w:val="18"/>
              </w:rPr>
              <w:t>23223</w:t>
            </w:r>
          </w:p>
        </w:tc>
        <w:tc>
          <w:tcPr>
            <w:tcW w:w="0" w:type="auto"/>
            <w:tcBorders>
              <w:bottom w:val="single" w:sz="6" w:space="0" w:color="DCDFE5"/>
            </w:tcBorders>
            <w:tcMar>
              <w:top w:w="180" w:type="dxa"/>
              <w:left w:w="0" w:type="dxa"/>
              <w:bottom w:w="180" w:type="dxa"/>
              <w:right w:w="240" w:type="dxa"/>
            </w:tcMar>
            <w:hideMark/>
          </w:tcPr>
          <w:p w14:paraId="178A41DE" w14:textId="77777777" w:rsidR="00634F16" w:rsidRPr="00634F16" w:rsidRDefault="00634F16" w:rsidP="00634F16">
            <w:pPr>
              <w:spacing w:after="0"/>
              <w:rPr>
                <w:sz w:val="18"/>
                <w:szCs w:val="18"/>
              </w:rPr>
            </w:pPr>
            <w:r w:rsidRPr="00634F16">
              <w:rPr>
                <w:sz w:val="18"/>
                <w:szCs w:val="18"/>
              </w:rPr>
              <w:t>Energija (struja, plin, grijanje)</w:t>
            </w:r>
          </w:p>
        </w:tc>
        <w:tc>
          <w:tcPr>
            <w:tcW w:w="0" w:type="auto"/>
            <w:tcBorders>
              <w:bottom w:val="single" w:sz="6" w:space="0" w:color="DCDFE5"/>
            </w:tcBorders>
            <w:tcMar>
              <w:top w:w="180" w:type="dxa"/>
              <w:left w:w="0" w:type="dxa"/>
              <w:bottom w:w="180" w:type="dxa"/>
              <w:right w:w="0" w:type="dxa"/>
            </w:tcMar>
            <w:hideMark/>
          </w:tcPr>
          <w:p w14:paraId="2E0DA768" w14:textId="77777777" w:rsidR="00634F16" w:rsidRPr="00634F16" w:rsidRDefault="00634F16" w:rsidP="00634F16">
            <w:pPr>
              <w:spacing w:after="0"/>
              <w:rPr>
                <w:sz w:val="18"/>
                <w:szCs w:val="18"/>
              </w:rPr>
            </w:pPr>
            <w:r w:rsidRPr="00634F16">
              <w:rPr>
                <w:sz w:val="18"/>
                <w:szCs w:val="18"/>
              </w:rPr>
              <w:t>651,43</w:t>
            </w:r>
          </w:p>
        </w:tc>
      </w:tr>
      <w:tr w:rsidR="00634F16" w:rsidRPr="00634F16" w14:paraId="76AA48CC" w14:textId="77777777">
        <w:tc>
          <w:tcPr>
            <w:tcW w:w="0" w:type="auto"/>
            <w:tcBorders>
              <w:bottom w:val="single" w:sz="6" w:space="0" w:color="DCDFE5"/>
            </w:tcBorders>
            <w:tcMar>
              <w:top w:w="180" w:type="dxa"/>
              <w:left w:w="0" w:type="dxa"/>
              <w:bottom w:w="180" w:type="dxa"/>
              <w:right w:w="240" w:type="dxa"/>
            </w:tcMar>
            <w:hideMark/>
          </w:tcPr>
          <w:p w14:paraId="03943053" w14:textId="77777777" w:rsidR="00634F16" w:rsidRPr="00634F16" w:rsidRDefault="00634F16" w:rsidP="00634F16">
            <w:pPr>
              <w:spacing w:after="0"/>
              <w:rPr>
                <w:sz w:val="18"/>
                <w:szCs w:val="18"/>
              </w:rPr>
            </w:pPr>
            <w:r w:rsidRPr="00634F16">
              <w:rPr>
                <w:b/>
                <w:bCs/>
                <w:sz w:val="18"/>
                <w:szCs w:val="18"/>
              </w:rPr>
              <w:t>23231</w:t>
            </w:r>
          </w:p>
        </w:tc>
        <w:tc>
          <w:tcPr>
            <w:tcW w:w="0" w:type="auto"/>
            <w:tcBorders>
              <w:bottom w:val="single" w:sz="6" w:space="0" w:color="DCDFE5"/>
            </w:tcBorders>
            <w:tcMar>
              <w:top w:w="180" w:type="dxa"/>
              <w:left w:w="0" w:type="dxa"/>
              <w:bottom w:w="180" w:type="dxa"/>
              <w:right w:w="240" w:type="dxa"/>
            </w:tcMar>
            <w:hideMark/>
          </w:tcPr>
          <w:p w14:paraId="670E96B3" w14:textId="77777777" w:rsidR="00634F16" w:rsidRPr="00634F16" w:rsidRDefault="00634F16" w:rsidP="00634F16">
            <w:pPr>
              <w:spacing w:after="0"/>
              <w:rPr>
                <w:sz w:val="18"/>
                <w:szCs w:val="18"/>
              </w:rPr>
            </w:pPr>
            <w:r w:rsidRPr="00634F16">
              <w:rPr>
                <w:sz w:val="18"/>
                <w:szCs w:val="18"/>
              </w:rPr>
              <w:t>Usluge telefona, pošte i prijevoza</w:t>
            </w:r>
          </w:p>
        </w:tc>
        <w:tc>
          <w:tcPr>
            <w:tcW w:w="0" w:type="auto"/>
            <w:tcBorders>
              <w:bottom w:val="single" w:sz="6" w:space="0" w:color="DCDFE5"/>
            </w:tcBorders>
            <w:tcMar>
              <w:top w:w="180" w:type="dxa"/>
              <w:left w:w="0" w:type="dxa"/>
              <w:bottom w:w="180" w:type="dxa"/>
              <w:right w:w="0" w:type="dxa"/>
            </w:tcMar>
            <w:hideMark/>
          </w:tcPr>
          <w:p w14:paraId="35B833DC" w14:textId="77777777" w:rsidR="00634F16" w:rsidRPr="00634F16" w:rsidRDefault="00634F16" w:rsidP="00634F16">
            <w:pPr>
              <w:spacing w:after="0"/>
              <w:rPr>
                <w:sz w:val="18"/>
                <w:szCs w:val="18"/>
              </w:rPr>
            </w:pPr>
            <w:r w:rsidRPr="00634F16">
              <w:rPr>
                <w:sz w:val="18"/>
                <w:szCs w:val="18"/>
              </w:rPr>
              <w:t>39,11</w:t>
            </w:r>
          </w:p>
        </w:tc>
      </w:tr>
      <w:tr w:rsidR="00634F16" w:rsidRPr="00634F16" w14:paraId="37735310" w14:textId="77777777">
        <w:tc>
          <w:tcPr>
            <w:tcW w:w="0" w:type="auto"/>
            <w:tcBorders>
              <w:bottom w:val="single" w:sz="6" w:space="0" w:color="DCDFE5"/>
            </w:tcBorders>
            <w:tcMar>
              <w:top w:w="180" w:type="dxa"/>
              <w:left w:w="0" w:type="dxa"/>
              <w:bottom w:w="180" w:type="dxa"/>
              <w:right w:w="240" w:type="dxa"/>
            </w:tcMar>
            <w:hideMark/>
          </w:tcPr>
          <w:p w14:paraId="7DB7BE0E" w14:textId="77777777" w:rsidR="00634F16" w:rsidRPr="00634F16" w:rsidRDefault="00634F16" w:rsidP="00634F16">
            <w:pPr>
              <w:spacing w:after="0"/>
              <w:rPr>
                <w:sz w:val="18"/>
                <w:szCs w:val="18"/>
              </w:rPr>
            </w:pPr>
            <w:r w:rsidRPr="00634F16">
              <w:rPr>
                <w:b/>
                <w:bCs/>
                <w:sz w:val="18"/>
                <w:szCs w:val="18"/>
              </w:rPr>
              <w:t>23232</w:t>
            </w:r>
          </w:p>
        </w:tc>
        <w:tc>
          <w:tcPr>
            <w:tcW w:w="0" w:type="auto"/>
            <w:tcBorders>
              <w:bottom w:val="single" w:sz="6" w:space="0" w:color="DCDFE5"/>
            </w:tcBorders>
            <w:tcMar>
              <w:top w:w="180" w:type="dxa"/>
              <w:left w:w="0" w:type="dxa"/>
              <w:bottom w:w="180" w:type="dxa"/>
              <w:right w:w="240" w:type="dxa"/>
            </w:tcMar>
            <w:hideMark/>
          </w:tcPr>
          <w:p w14:paraId="0D031A59" w14:textId="77777777" w:rsidR="00634F16" w:rsidRPr="00634F16" w:rsidRDefault="00634F16" w:rsidP="00634F16">
            <w:pPr>
              <w:spacing w:after="0"/>
              <w:rPr>
                <w:sz w:val="18"/>
                <w:szCs w:val="18"/>
              </w:rPr>
            </w:pPr>
            <w:r w:rsidRPr="00634F16">
              <w:rPr>
                <w:sz w:val="18"/>
                <w:szCs w:val="18"/>
              </w:rPr>
              <w:t>Tekuće i investicijsko održavanje</w:t>
            </w:r>
          </w:p>
        </w:tc>
        <w:tc>
          <w:tcPr>
            <w:tcW w:w="0" w:type="auto"/>
            <w:tcBorders>
              <w:bottom w:val="single" w:sz="6" w:space="0" w:color="DCDFE5"/>
            </w:tcBorders>
            <w:tcMar>
              <w:top w:w="180" w:type="dxa"/>
              <w:left w:w="0" w:type="dxa"/>
              <w:bottom w:w="180" w:type="dxa"/>
              <w:right w:w="0" w:type="dxa"/>
            </w:tcMar>
            <w:hideMark/>
          </w:tcPr>
          <w:p w14:paraId="4B16742A" w14:textId="77777777" w:rsidR="00634F16" w:rsidRPr="00634F16" w:rsidRDefault="00634F16" w:rsidP="00634F16">
            <w:pPr>
              <w:spacing w:after="0"/>
              <w:rPr>
                <w:sz w:val="18"/>
                <w:szCs w:val="18"/>
              </w:rPr>
            </w:pPr>
            <w:r w:rsidRPr="00634F16">
              <w:rPr>
                <w:sz w:val="18"/>
                <w:szCs w:val="18"/>
              </w:rPr>
              <w:t>9,55</w:t>
            </w:r>
          </w:p>
        </w:tc>
      </w:tr>
      <w:tr w:rsidR="00634F16" w:rsidRPr="00634F16" w14:paraId="410BEF2F" w14:textId="77777777">
        <w:tc>
          <w:tcPr>
            <w:tcW w:w="0" w:type="auto"/>
            <w:tcBorders>
              <w:bottom w:val="single" w:sz="6" w:space="0" w:color="DCDFE5"/>
            </w:tcBorders>
            <w:tcMar>
              <w:top w:w="180" w:type="dxa"/>
              <w:left w:w="0" w:type="dxa"/>
              <w:bottom w:w="180" w:type="dxa"/>
              <w:right w:w="240" w:type="dxa"/>
            </w:tcMar>
            <w:hideMark/>
          </w:tcPr>
          <w:p w14:paraId="5E46648D" w14:textId="77777777" w:rsidR="00634F16" w:rsidRPr="00634F16" w:rsidRDefault="00634F16" w:rsidP="00634F16">
            <w:pPr>
              <w:spacing w:after="0"/>
              <w:rPr>
                <w:sz w:val="18"/>
                <w:szCs w:val="18"/>
              </w:rPr>
            </w:pPr>
            <w:r w:rsidRPr="00634F16">
              <w:rPr>
                <w:b/>
                <w:bCs/>
                <w:sz w:val="18"/>
                <w:szCs w:val="18"/>
              </w:rPr>
              <w:t>23238</w:t>
            </w:r>
          </w:p>
        </w:tc>
        <w:tc>
          <w:tcPr>
            <w:tcW w:w="0" w:type="auto"/>
            <w:tcBorders>
              <w:bottom w:val="single" w:sz="6" w:space="0" w:color="DCDFE5"/>
            </w:tcBorders>
            <w:tcMar>
              <w:top w:w="180" w:type="dxa"/>
              <w:left w:w="0" w:type="dxa"/>
              <w:bottom w:w="180" w:type="dxa"/>
              <w:right w:w="240" w:type="dxa"/>
            </w:tcMar>
            <w:hideMark/>
          </w:tcPr>
          <w:p w14:paraId="4D8C69F6" w14:textId="77777777" w:rsidR="00634F16" w:rsidRPr="00634F16" w:rsidRDefault="00634F16" w:rsidP="00634F16">
            <w:pPr>
              <w:spacing w:after="0"/>
              <w:rPr>
                <w:sz w:val="18"/>
                <w:szCs w:val="18"/>
              </w:rPr>
            </w:pPr>
            <w:r w:rsidRPr="00634F16">
              <w:rPr>
                <w:sz w:val="18"/>
                <w:szCs w:val="18"/>
              </w:rPr>
              <w:t>Računalne usluge</w:t>
            </w:r>
          </w:p>
        </w:tc>
        <w:tc>
          <w:tcPr>
            <w:tcW w:w="0" w:type="auto"/>
            <w:tcBorders>
              <w:bottom w:val="single" w:sz="6" w:space="0" w:color="DCDFE5"/>
            </w:tcBorders>
            <w:tcMar>
              <w:top w:w="180" w:type="dxa"/>
              <w:left w:w="0" w:type="dxa"/>
              <w:bottom w:w="180" w:type="dxa"/>
              <w:right w:w="0" w:type="dxa"/>
            </w:tcMar>
            <w:hideMark/>
          </w:tcPr>
          <w:p w14:paraId="1EC9DC0F" w14:textId="77777777" w:rsidR="00634F16" w:rsidRPr="00634F16" w:rsidRDefault="00634F16" w:rsidP="00634F16">
            <w:pPr>
              <w:spacing w:after="0"/>
              <w:rPr>
                <w:sz w:val="18"/>
                <w:szCs w:val="18"/>
              </w:rPr>
            </w:pPr>
            <w:r w:rsidRPr="00634F16">
              <w:rPr>
                <w:sz w:val="18"/>
                <w:szCs w:val="18"/>
              </w:rPr>
              <w:t>1,66</w:t>
            </w:r>
          </w:p>
        </w:tc>
      </w:tr>
      <w:tr w:rsidR="00634F16" w:rsidRPr="00634F16" w14:paraId="2C2D4F43" w14:textId="77777777">
        <w:tc>
          <w:tcPr>
            <w:tcW w:w="0" w:type="auto"/>
            <w:tcBorders>
              <w:bottom w:val="single" w:sz="6" w:space="0" w:color="DCDFE5"/>
            </w:tcBorders>
            <w:tcMar>
              <w:top w:w="180" w:type="dxa"/>
              <w:left w:w="0" w:type="dxa"/>
              <w:bottom w:w="180" w:type="dxa"/>
              <w:right w:w="240" w:type="dxa"/>
            </w:tcMar>
            <w:hideMark/>
          </w:tcPr>
          <w:p w14:paraId="01E3BFB6" w14:textId="77777777" w:rsidR="00634F16" w:rsidRPr="00634F16" w:rsidRDefault="00634F16" w:rsidP="00634F16">
            <w:pPr>
              <w:spacing w:after="0"/>
              <w:rPr>
                <w:sz w:val="18"/>
                <w:szCs w:val="18"/>
              </w:rPr>
            </w:pPr>
            <w:r w:rsidRPr="00634F16">
              <w:rPr>
                <w:b/>
                <w:bCs/>
                <w:sz w:val="18"/>
                <w:szCs w:val="18"/>
              </w:rPr>
              <w:t>23239</w:t>
            </w:r>
          </w:p>
        </w:tc>
        <w:tc>
          <w:tcPr>
            <w:tcW w:w="0" w:type="auto"/>
            <w:tcBorders>
              <w:bottom w:val="single" w:sz="6" w:space="0" w:color="DCDFE5"/>
            </w:tcBorders>
            <w:tcMar>
              <w:top w:w="180" w:type="dxa"/>
              <w:left w:w="0" w:type="dxa"/>
              <w:bottom w:w="180" w:type="dxa"/>
              <w:right w:w="240" w:type="dxa"/>
            </w:tcMar>
            <w:hideMark/>
          </w:tcPr>
          <w:p w14:paraId="193E503C" w14:textId="77777777" w:rsidR="00634F16" w:rsidRPr="00634F16" w:rsidRDefault="00634F16" w:rsidP="00634F16">
            <w:pPr>
              <w:spacing w:after="0"/>
              <w:rPr>
                <w:sz w:val="18"/>
                <w:szCs w:val="18"/>
              </w:rPr>
            </w:pPr>
            <w:r w:rsidRPr="00634F16">
              <w:rPr>
                <w:sz w:val="18"/>
                <w:szCs w:val="18"/>
              </w:rPr>
              <w:t>Ostale usluge (zbirno)</w:t>
            </w:r>
          </w:p>
        </w:tc>
        <w:tc>
          <w:tcPr>
            <w:tcW w:w="0" w:type="auto"/>
            <w:tcBorders>
              <w:bottom w:val="single" w:sz="6" w:space="0" w:color="DCDFE5"/>
            </w:tcBorders>
            <w:tcMar>
              <w:top w:w="180" w:type="dxa"/>
              <w:left w:w="0" w:type="dxa"/>
              <w:bottom w:w="180" w:type="dxa"/>
              <w:right w:w="0" w:type="dxa"/>
            </w:tcMar>
            <w:hideMark/>
          </w:tcPr>
          <w:p w14:paraId="0698BA3C" w14:textId="77777777" w:rsidR="00634F16" w:rsidRPr="00634F16" w:rsidRDefault="00634F16" w:rsidP="00634F16">
            <w:pPr>
              <w:spacing w:after="0"/>
              <w:rPr>
                <w:sz w:val="18"/>
                <w:szCs w:val="18"/>
              </w:rPr>
            </w:pPr>
            <w:r w:rsidRPr="00634F16">
              <w:rPr>
                <w:sz w:val="18"/>
                <w:szCs w:val="18"/>
              </w:rPr>
              <w:t>170,88</w:t>
            </w:r>
          </w:p>
        </w:tc>
      </w:tr>
      <w:tr w:rsidR="00634F16" w:rsidRPr="00634F16" w14:paraId="279FFFE3" w14:textId="77777777">
        <w:tc>
          <w:tcPr>
            <w:tcW w:w="0" w:type="auto"/>
            <w:tcBorders>
              <w:bottom w:val="single" w:sz="6" w:space="0" w:color="DCDFE5"/>
            </w:tcBorders>
            <w:tcMar>
              <w:top w:w="180" w:type="dxa"/>
              <w:left w:w="0" w:type="dxa"/>
              <w:bottom w:w="180" w:type="dxa"/>
              <w:right w:w="240" w:type="dxa"/>
            </w:tcMar>
            <w:hideMark/>
          </w:tcPr>
          <w:p w14:paraId="61469168" w14:textId="77777777" w:rsidR="00634F16" w:rsidRPr="00634F16" w:rsidRDefault="00634F16" w:rsidP="00634F16">
            <w:pPr>
              <w:spacing w:after="0"/>
              <w:rPr>
                <w:sz w:val="18"/>
                <w:szCs w:val="18"/>
              </w:rPr>
            </w:pPr>
            <w:r w:rsidRPr="00634F16">
              <w:rPr>
                <w:b/>
                <w:bCs/>
                <w:sz w:val="18"/>
                <w:szCs w:val="18"/>
              </w:rPr>
              <w:t>23293</w:t>
            </w:r>
          </w:p>
        </w:tc>
        <w:tc>
          <w:tcPr>
            <w:tcW w:w="0" w:type="auto"/>
            <w:tcBorders>
              <w:bottom w:val="single" w:sz="6" w:space="0" w:color="DCDFE5"/>
            </w:tcBorders>
            <w:tcMar>
              <w:top w:w="180" w:type="dxa"/>
              <w:left w:w="0" w:type="dxa"/>
              <w:bottom w:w="180" w:type="dxa"/>
              <w:right w:w="240" w:type="dxa"/>
            </w:tcMar>
            <w:hideMark/>
          </w:tcPr>
          <w:p w14:paraId="6B453B57" w14:textId="77777777" w:rsidR="00634F16" w:rsidRPr="00634F16" w:rsidRDefault="00634F16" w:rsidP="00634F16">
            <w:pPr>
              <w:spacing w:after="0"/>
              <w:rPr>
                <w:sz w:val="18"/>
                <w:szCs w:val="18"/>
              </w:rPr>
            </w:pPr>
            <w:r w:rsidRPr="00634F16">
              <w:rPr>
                <w:sz w:val="18"/>
                <w:szCs w:val="18"/>
              </w:rPr>
              <w:t>Reprezentacija</w:t>
            </w:r>
          </w:p>
        </w:tc>
        <w:tc>
          <w:tcPr>
            <w:tcW w:w="0" w:type="auto"/>
            <w:tcBorders>
              <w:bottom w:val="single" w:sz="6" w:space="0" w:color="DCDFE5"/>
            </w:tcBorders>
            <w:tcMar>
              <w:top w:w="180" w:type="dxa"/>
              <w:left w:w="0" w:type="dxa"/>
              <w:bottom w:w="180" w:type="dxa"/>
              <w:right w:w="0" w:type="dxa"/>
            </w:tcMar>
            <w:hideMark/>
          </w:tcPr>
          <w:p w14:paraId="5A025C69" w14:textId="77777777" w:rsidR="00634F16" w:rsidRPr="00634F16" w:rsidRDefault="00634F16" w:rsidP="00634F16">
            <w:pPr>
              <w:spacing w:after="0"/>
              <w:rPr>
                <w:sz w:val="18"/>
                <w:szCs w:val="18"/>
              </w:rPr>
            </w:pPr>
            <w:r w:rsidRPr="00634F16">
              <w:rPr>
                <w:sz w:val="18"/>
                <w:szCs w:val="18"/>
              </w:rPr>
              <w:t>16,00</w:t>
            </w:r>
          </w:p>
        </w:tc>
      </w:tr>
      <w:tr w:rsidR="00634F16" w:rsidRPr="00634F16" w14:paraId="7EAAC319" w14:textId="77777777">
        <w:tc>
          <w:tcPr>
            <w:tcW w:w="0" w:type="auto"/>
            <w:tcBorders>
              <w:bottom w:val="nil"/>
            </w:tcBorders>
            <w:tcMar>
              <w:top w:w="180" w:type="dxa"/>
              <w:left w:w="0" w:type="dxa"/>
              <w:bottom w:w="180" w:type="dxa"/>
              <w:right w:w="240" w:type="dxa"/>
            </w:tcMar>
            <w:hideMark/>
          </w:tcPr>
          <w:p w14:paraId="402875D7" w14:textId="77777777" w:rsidR="00634F16" w:rsidRPr="00634F16" w:rsidRDefault="00634F16" w:rsidP="00634F16">
            <w:pPr>
              <w:spacing w:after="0"/>
              <w:rPr>
                <w:sz w:val="18"/>
                <w:szCs w:val="18"/>
              </w:rPr>
            </w:pPr>
            <w:r w:rsidRPr="00634F16">
              <w:rPr>
                <w:b/>
                <w:bCs/>
                <w:sz w:val="18"/>
                <w:szCs w:val="18"/>
              </w:rPr>
              <w:t>UKUPNO (32)</w:t>
            </w:r>
          </w:p>
        </w:tc>
        <w:tc>
          <w:tcPr>
            <w:tcW w:w="0" w:type="auto"/>
            <w:tcBorders>
              <w:bottom w:val="nil"/>
            </w:tcBorders>
            <w:tcMar>
              <w:top w:w="180" w:type="dxa"/>
              <w:left w:w="0" w:type="dxa"/>
              <w:bottom w:w="180" w:type="dxa"/>
              <w:right w:w="240" w:type="dxa"/>
            </w:tcMar>
            <w:hideMark/>
          </w:tcPr>
          <w:p w14:paraId="6B3D92CB" w14:textId="77777777" w:rsidR="00634F16" w:rsidRPr="00634F16" w:rsidRDefault="00634F16" w:rsidP="00634F16">
            <w:pPr>
              <w:spacing w:after="0"/>
              <w:rPr>
                <w:sz w:val="18"/>
                <w:szCs w:val="18"/>
              </w:rPr>
            </w:pPr>
          </w:p>
        </w:tc>
        <w:tc>
          <w:tcPr>
            <w:tcW w:w="0" w:type="auto"/>
            <w:tcBorders>
              <w:bottom w:val="nil"/>
            </w:tcBorders>
            <w:tcMar>
              <w:top w:w="180" w:type="dxa"/>
              <w:left w:w="0" w:type="dxa"/>
              <w:bottom w:w="180" w:type="dxa"/>
              <w:right w:w="0" w:type="dxa"/>
            </w:tcMar>
            <w:hideMark/>
          </w:tcPr>
          <w:p w14:paraId="34355FD8" w14:textId="77777777" w:rsidR="00634F16" w:rsidRPr="00634F16" w:rsidRDefault="00634F16" w:rsidP="00634F16">
            <w:pPr>
              <w:spacing w:after="0"/>
              <w:rPr>
                <w:sz w:val="18"/>
                <w:szCs w:val="18"/>
              </w:rPr>
            </w:pPr>
            <w:r w:rsidRPr="00634F16">
              <w:rPr>
                <w:b/>
                <w:bCs/>
                <w:sz w:val="18"/>
                <w:szCs w:val="18"/>
              </w:rPr>
              <w:t>888,63</w:t>
            </w:r>
          </w:p>
        </w:tc>
      </w:tr>
    </w:tbl>
    <w:p w14:paraId="780B89EB" w14:textId="77777777" w:rsidR="00634F16" w:rsidRPr="00634F16" w:rsidRDefault="00634F16" w:rsidP="00634F16">
      <w:pPr>
        <w:spacing w:after="0"/>
        <w:rPr>
          <w:sz w:val="18"/>
          <w:szCs w:val="18"/>
        </w:rPr>
      </w:pPr>
      <w:r w:rsidRPr="00634F16">
        <w:rPr>
          <w:sz w:val="18"/>
          <w:szCs w:val="18"/>
        </w:rPr>
        <w:pict w14:anchorId="674D6980">
          <v:rect id="_x0000_i1031" style="width:0;height:.75pt" o:hralign="center" o:hrstd="t" o:hr="t" fillcolor="#a0a0a0" stroked="f"/>
        </w:pict>
      </w:r>
    </w:p>
    <w:p w14:paraId="6DB6F5AD" w14:textId="77777777" w:rsidR="00634F16" w:rsidRPr="00634F16" w:rsidRDefault="00634F16" w:rsidP="00634F16">
      <w:pPr>
        <w:spacing w:after="0"/>
        <w:rPr>
          <w:b/>
          <w:bCs/>
          <w:sz w:val="18"/>
          <w:szCs w:val="18"/>
        </w:rPr>
      </w:pPr>
      <w:r w:rsidRPr="00634F16">
        <w:rPr>
          <w:b/>
          <w:bCs/>
          <w:sz w:val="18"/>
          <w:szCs w:val="18"/>
        </w:rPr>
        <w:t>Sažetak ukupnih obveza na 31.12.2025.</w:t>
      </w:r>
    </w:p>
    <w:p w14:paraId="1EFBF10D" w14:textId="77777777" w:rsidR="00634F16" w:rsidRPr="00634F16" w:rsidRDefault="00634F16" w:rsidP="00634F16">
      <w:pPr>
        <w:numPr>
          <w:ilvl w:val="0"/>
          <w:numId w:val="3"/>
        </w:numPr>
        <w:spacing w:after="0"/>
        <w:rPr>
          <w:sz w:val="18"/>
          <w:szCs w:val="18"/>
        </w:rPr>
      </w:pPr>
      <w:r w:rsidRPr="00634F16">
        <w:rPr>
          <w:b/>
          <w:bCs/>
          <w:sz w:val="18"/>
          <w:szCs w:val="18"/>
        </w:rPr>
        <w:t>Obveze za zaposlene:</w:t>
      </w:r>
      <w:r w:rsidRPr="00634F16">
        <w:rPr>
          <w:sz w:val="18"/>
          <w:szCs w:val="18"/>
        </w:rPr>
        <w:t> 1.864,16 €</w:t>
      </w:r>
    </w:p>
    <w:p w14:paraId="425B354C" w14:textId="77777777" w:rsidR="00634F16" w:rsidRPr="00634F16" w:rsidRDefault="00634F16" w:rsidP="00634F16">
      <w:pPr>
        <w:numPr>
          <w:ilvl w:val="0"/>
          <w:numId w:val="3"/>
        </w:numPr>
        <w:spacing w:after="0"/>
        <w:rPr>
          <w:sz w:val="18"/>
          <w:szCs w:val="18"/>
        </w:rPr>
      </w:pPr>
      <w:r w:rsidRPr="00634F16">
        <w:rPr>
          <w:b/>
          <w:bCs/>
          <w:sz w:val="18"/>
          <w:szCs w:val="18"/>
        </w:rPr>
        <w:t>Materijalni rashodi:</w:t>
      </w:r>
      <w:r w:rsidRPr="00634F16">
        <w:rPr>
          <w:sz w:val="18"/>
          <w:szCs w:val="18"/>
        </w:rPr>
        <w:t> 888,63 €</w:t>
      </w:r>
    </w:p>
    <w:p w14:paraId="40187994" w14:textId="77777777" w:rsidR="00634F16" w:rsidRPr="00634F16" w:rsidRDefault="00634F16" w:rsidP="00634F16">
      <w:pPr>
        <w:numPr>
          <w:ilvl w:val="0"/>
          <w:numId w:val="3"/>
        </w:numPr>
        <w:spacing w:after="0"/>
        <w:rPr>
          <w:sz w:val="18"/>
          <w:szCs w:val="18"/>
        </w:rPr>
      </w:pPr>
      <w:r w:rsidRPr="00634F16">
        <w:rPr>
          <w:b/>
          <w:bCs/>
          <w:sz w:val="18"/>
          <w:szCs w:val="18"/>
        </w:rPr>
        <w:t>SVEUKUPNE OBVEZE:</w:t>
      </w:r>
      <w:r w:rsidRPr="00634F16">
        <w:rPr>
          <w:sz w:val="18"/>
          <w:szCs w:val="18"/>
        </w:rPr>
        <w:t> </w:t>
      </w:r>
      <w:r w:rsidRPr="00634F16">
        <w:rPr>
          <w:b/>
          <w:bCs/>
          <w:sz w:val="18"/>
          <w:szCs w:val="18"/>
        </w:rPr>
        <w:t>2.752,79 €</w:t>
      </w:r>
    </w:p>
    <w:p w14:paraId="155F23BB" w14:textId="77777777" w:rsidR="0043400B" w:rsidRPr="00634F16" w:rsidRDefault="0043400B">
      <w:pPr>
        <w:spacing w:after="0"/>
        <w:rPr>
          <w:sz w:val="18"/>
          <w:szCs w:val="18"/>
        </w:rPr>
      </w:pPr>
    </w:p>
    <w:sectPr w:rsidR="0043400B" w:rsidRPr="00634F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B0110"/>
    <w:multiLevelType w:val="multilevel"/>
    <w:tmpl w:val="CFB2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FC0834"/>
    <w:multiLevelType w:val="multilevel"/>
    <w:tmpl w:val="E970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DC6AEF"/>
    <w:multiLevelType w:val="hybridMultilevel"/>
    <w:tmpl w:val="0FF0C7F2"/>
    <w:name w:val="decimal"/>
    <w:lvl w:ilvl="0" w:tplc="381CEFF2">
      <w:start w:val="1"/>
      <w:numFmt w:val="decimal"/>
      <w:lvlText w:val="%1."/>
      <w:lvlJc w:val="left"/>
      <w:pPr>
        <w:ind w:left="720" w:hanging="360"/>
      </w:pPr>
    </w:lvl>
    <w:lvl w:ilvl="1" w:tplc="C41ABBC0">
      <w:start w:val="1"/>
      <w:numFmt w:val="decimal"/>
      <w:lvlText w:val="%2."/>
      <w:lvlJc w:val="left"/>
      <w:pPr>
        <w:ind w:left="1440" w:hanging="360"/>
      </w:pPr>
    </w:lvl>
    <w:lvl w:ilvl="2" w:tplc="3452AAD8">
      <w:start w:val="1"/>
      <w:numFmt w:val="decimal"/>
      <w:lvlText w:val="%3."/>
      <w:lvlJc w:val="left"/>
      <w:pPr>
        <w:ind w:left="2160" w:hanging="360"/>
      </w:pPr>
    </w:lvl>
    <w:lvl w:ilvl="3" w:tplc="C090FCA2">
      <w:start w:val="1"/>
      <w:numFmt w:val="decimal"/>
      <w:lvlText w:val="%4."/>
      <w:lvlJc w:val="left"/>
      <w:pPr>
        <w:ind w:left="2880" w:hanging="360"/>
      </w:pPr>
    </w:lvl>
    <w:lvl w:ilvl="4" w:tplc="961ADD84">
      <w:start w:val="1"/>
      <w:numFmt w:val="decimal"/>
      <w:lvlText w:val="%5."/>
      <w:lvlJc w:val="left"/>
      <w:pPr>
        <w:ind w:left="3600" w:hanging="360"/>
      </w:pPr>
    </w:lvl>
    <w:lvl w:ilvl="5" w:tplc="C5C83AB6">
      <w:start w:val="1"/>
      <w:numFmt w:val="decimal"/>
      <w:lvlText w:val="%6."/>
      <w:lvlJc w:val="left"/>
      <w:pPr>
        <w:ind w:left="4320" w:hanging="360"/>
      </w:pPr>
    </w:lvl>
    <w:lvl w:ilvl="6" w:tplc="E2CA0842">
      <w:start w:val="1"/>
      <w:numFmt w:val="decimal"/>
      <w:lvlText w:val="%7."/>
      <w:lvlJc w:val="left"/>
      <w:pPr>
        <w:ind w:left="5040" w:hanging="360"/>
      </w:pPr>
    </w:lvl>
    <w:lvl w:ilvl="7" w:tplc="15C47570">
      <w:start w:val="1"/>
      <w:numFmt w:val="decimal"/>
      <w:lvlText w:val="%8."/>
      <w:lvlJc w:val="left"/>
      <w:pPr>
        <w:ind w:left="5760" w:hanging="360"/>
      </w:pPr>
    </w:lvl>
    <w:lvl w:ilvl="8" w:tplc="EDD24D36">
      <w:start w:val="1"/>
      <w:numFmt w:val="decimal"/>
      <w:lvlText w:val="%9."/>
      <w:lvlJc w:val="left"/>
      <w:pPr>
        <w:ind w:left="6480" w:hanging="360"/>
      </w:pPr>
    </w:lvl>
  </w:abstractNum>
  <w:num w:numId="1" w16cid:durableId="651525298">
    <w:abstractNumId w:val="2"/>
    <w:lvlOverride w:ilvl="0">
      <w:startOverride w:val="1"/>
    </w:lvlOverride>
  </w:num>
  <w:num w:numId="2" w16cid:durableId="759176002">
    <w:abstractNumId w:val="0"/>
  </w:num>
  <w:num w:numId="3" w16cid:durableId="278800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3400B"/>
    <w:rsid w:val="003B7CE3"/>
    <w:rsid w:val="0043400B"/>
    <w:rsid w:val="00634F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B5B0"/>
  <w15:docId w15:val="{BA4B40C1-D371-4D9D-8CEC-A4CBEA7F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character" w:styleId="Hiperveza">
    <w:name w:val="Hyperlink"/>
    <w:basedOn w:val="Zadanifontodlomka"/>
    <w:uiPriority w:val="99"/>
    <w:unhideWhenUsed/>
    <w:rsid w:val="00634F16"/>
    <w:rPr>
      <w:color w:val="0563C1" w:themeColor="hyperlink"/>
      <w:u w:val="single"/>
    </w:rPr>
  </w:style>
  <w:style w:type="character" w:styleId="Nerijeenospominjanje">
    <w:name w:val="Unresolved Mention"/>
    <w:basedOn w:val="Zadanifontodlomka"/>
    <w:uiPriority w:val="99"/>
    <w:semiHidden/>
    <w:unhideWhenUsed/>
    <w:rsid w:val="0063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3584</Words>
  <Characters>20435</Characters>
  <Application>Microsoft Office Word</Application>
  <DocSecurity>0</DocSecurity>
  <Lines>170</Lines>
  <Paragraphs>47</Paragraphs>
  <ScaleCrop>false</ScaleCrop>
  <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racunovodstvo@lipovljani.hr</cp:lastModifiedBy>
  <cp:revision>3</cp:revision>
  <cp:lastPrinted>2026-02-18T08:21:00Z</cp:lastPrinted>
  <dcterms:created xsi:type="dcterms:W3CDTF">2026-02-18T08:12:00Z</dcterms:created>
  <dcterms:modified xsi:type="dcterms:W3CDTF">2026-02-18T08:21:00Z</dcterms:modified>
</cp:coreProperties>
</file>