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+*xfs*pvs*Akl*cvA*xBj*tCi*lrb*ajb*uay*Eck*pBk*-</w:t>
            </w:r>
            <w:r>
              <w:rPr>
                <w:rFonts w:ascii="PDF417x" w:hAnsi="PDF417x"/>
                <w:sz w:val="24"/>
                <w:szCs w:val="24"/>
              </w:rPr>
              <w:br/>
              <w:t>+*yqw*myg*sEt*Ebl*xag*ycf*zbF*Bjq*obC*xCc*zew*-</w:t>
            </w:r>
            <w:r>
              <w:rPr>
                <w:rFonts w:ascii="PDF417x" w:hAnsi="PDF417x"/>
                <w:sz w:val="24"/>
                <w:szCs w:val="24"/>
              </w:rPr>
              <w:br/>
              <w:t>+*eDs*ors*lyd*lyd*lyd*gEi*lti*CCj*bke*aFs*zfE*-</w:t>
            </w:r>
            <w:r>
              <w:rPr>
                <w:rFonts w:ascii="PDF417x" w:hAnsi="PDF417x"/>
                <w:sz w:val="24"/>
                <w:szCs w:val="24"/>
              </w:rPr>
              <w:br/>
              <w:t>+*ftw*dBA*ogw*kqb*fxy*oxw*Akl*qEk*CBc*mCs*onA*-</w:t>
            </w:r>
            <w:r>
              <w:rPr>
                <w:rFonts w:ascii="PDF417x" w:hAnsi="PDF417x"/>
                <w:sz w:val="24"/>
                <w:szCs w:val="24"/>
              </w:rPr>
              <w:br/>
              <w:t>+*ftA*nuz*sxx*owc*tbr*ifw*yms*azC*azn*wgt*uws*-</w:t>
            </w:r>
            <w:r>
              <w:rPr>
                <w:rFonts w:ascii="PDF417x" w:hAnsi="PDF417x"/>
                <w:sz w:val="24"/>
                <w:szCs w:val="24"/>
              </w:rPr>
              <w:br/>
              <w:t>+*xjq*vtb*kuj*sru*zfC*Chy*nmi*urw*Ckj*blB*uzq*-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77777777" w:rsidR="008C5FE5" w:rsidRDefault="00B92D0F" w:rsidP="00B92D0F">
      <w:pPr>
        <w:jc w:val="both"/>
        <w:rPr>
          <w:rFonts w:eastAsia="Times New Roman" w:cs="Times New Roman"/>
        </w:rPr>
      </w:pPr>
      <w:r w:rsidRPr="00B92D0F">
        <w:rPr>
          <w:rFonts w:eastAsia="Times New Roman" w:cs="Times New Roman"/>
        </w:rPr>
        <w:drawing>
          <wp:anchor distT="0" distB="0" distL="114300" distR="114300" simplePos="0" relativeHeight="251674624" behindDoc="0" locked="0" layoutInCell="1" allowOverlap="1" wp14:anchorId="7A02E439" wp14:editId="2D543F24">
            <wp:simplePos x="0" y="0"/>
            <wp:positionH relativeFrom="column">
              <wp:posOffset>229235</wp:posOffset>
            </wp:positionH>
            <wp:positionV relativeFrom="paragraph">
              <wp:posOffset>-445770</wp:posOffset>
            </wp:positionV>
            <wp:extent cx="335915" cy="445135"/>
            <wp:effectExtent l="0" t="0" r="0" b="0"/>
            <wp:wrapNone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1CB8B" w14:textId="3AE56BB9" w:rsidR="008C5FE5" w:rsidRDefault="003F65C1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REPUBLIKA HRVATSKA</w:t>
      </w:r>
    </w:p>
    <w:p w14:paraId="3ECC8667" w14:textId="0BB3CCD9" w:rsidR="00E0451B" w:rsidRDefault="00E0451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SISAČKO-MOSLAVAČKA ŽUPANIJA</w:t>
      </w:r>
    </w:p>
    <w:p w14:paraId="54DC1281" w14:textId="66C22298" w:rsidR="00E0451B" w:rsidRDefault="00E0451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OPĆINA LIPOVLJANI</w:t>
      </w:r>
    </w:p>
    <w:p w14:paraId="3379EE20" w14:textId="7D22F659" w:rsidR="00B92D0F" w:rsidRDefault="00762ABF" w:rsidP="00B92D0F">
      <w:pPr>
        <w:jc w:val="both"/>
        <w:rPr>
          <w:rFonts w:eastAsia="Times New Roman" w:cs="Times New Roman"/>
          <w:noProof w:val="0"/>
        </w:rPr>
      </w:pPr>
      <w:r>
        <w:rPr>
          <w:rFonts w:eastAsia="Times New Roman" w:cs="Times New Roman"/>
          <w:noProof w:val="0"/>
        </w:rPr>
        <w:t>OPĆINSKO VIJEĆE</w:t>
      </w:r>
    </w:p>
    <w:p w14:paraId="4151A519" w14:textId="77777777" w:rsidR="00943261" w:rsidRPr="00B92D0F" w:rsidRDefault="00943261" w:rsidP="00B92D0F">
      <w:pPr>
        <w:jc w:val="both"/>
        <w:rPr>
          <w:rFonts w:eastAsia="Times New Roman" w:cs="Times New Roman"/>
          <w:noProof w:val="0"/>
        </w:rPr>
      </w:pPr>
    </w:p>
    <w:p w14:paraId="67B11731" w14:textId="77C2F2BF" w:rsidR="00B92D0F" w:rsidRPr="00275B0C" w:rsidRDefault="00C9578C" w:rsidP="00B92D0F">
      <w:r>
        <w:rPr>
          <w:rFonts w:ascii="Calibri" w:eastAsia="Times New Roman" w:hAnsi="Calibri" w:cs="Calibri"/>
          <w:noProof w:val="0"/>
          <w:color w:val="000000"/>
          <w:lang w:eastAsia="hr-HR"/>
        </w:rPr>
        <w:t>KLASA:</w:t>
      </w:r>
      <w:r w:rsidR="00275B0C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246-01/24-01/2</w:t>
      </w:r>
      <w:r w:rsidR="008C5FE5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</w:p>
    <w:p w14:paraId="0FD39D47" w14:textId="3B225B5A" w:rsidR="00B92D0F" w:rsidRPr="00B92D0F" w:rsidRDefault="00C9578C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URBROJ: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2176-13-24-1</w:t>
      </w:r>
    </w:p>
    <w:p w14:paraId="4445648A" w14:textId="00077149" w:rsidR="00B92D0F" w:rsidRPr="00B92D0F" w:rsidRDefault="00E0451B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 w:rsidRPr="004F7347">
        <w:rPr>
          <w:rFonts w:ascii="Calibri" w:eastAsia="Times New Roman" w:hAnsi="Calibri" w:cs="Calibri"/>
          <w:noProof w:val="0"/>
          <w:lang w:eastAsia="hr-HR"/>
        </w:rPr>
        <w:t>Lipovljan</w:t>
      </w:r>
      <w:r w:rsidR="004F7347" w:rsidRPr="004F7347">
        <w:rPr>
          <w:rFonts w:ascii="Calibri" w:eastAsia="Times New Roman" w:hAnsi="Calibri" w:cs="Calibri"/>
          <w:noProof w:val="0"/>
          <w:lang w:eastAsia="hr-HR"/>
        </w:rPr>
        <w:t>i</w:t>
      </w:r>
      <w:r w:rsidR="00C9578C" w:rsidRPr="004F7347">
        <w:rPr>
          <w:rFonts w:ascii="Calibri" w:eastAsia="Times New Roman" w:hAnsi="Calibri" w:cs="Calibri"/>
          <w:noProof w:val="0"/>
          <w:lang w:eastAsia="hr-HR"/>
        </w:rPr>
        <w:t xml:space="preserve">,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2</w:t>
      </w:r>
      <w:r w:rsidR="00762ABF">
        <w:rPr>
          <w:rFonts w:ascii="Calibri" w:eastAsia="Times New Roman" w:hAnsi="Calibri" w:cs="Calibri"/>
          <w:noProof w:val="0"/>
          <w:color w:val="000000"/>
          <w:lang w:eastAsia="hr-HR"/>
        </w:rPr>
        <w:t>8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.02.2024.</w:t>
      </w:r>
    </w:p>
    <w:p w14:paraId="4EDCCDC9" w14:textId="77777777" w:rsidR="00D707B3" w:rsidRDefault="00D707B3" w:rsidP="004F7347"/>
    <w:p w14:paraId="21200C07" w14:textId="77777777" w:rsidR="00D707B3" w:rsidRDefault="00D707B3" w:rsidP="00D707B3"/>
    <w:p w14:paraId="3DF612A9" w14:textId="2B0515D2" w:rsidR="00762ABF" w:rsidRPr="00762ABF" w:rsidRDefault="00762ABF" w:rsidP="00943261">
      <w:pPr>
        <w:spacing w:after="160" w:line="259" w:lineRule="auto"/>
        <w:jc w:val="both"/>
        <w:rPr>
          <w:rFonts w:ascii="Calibri" w:eastAsia="Times New Roman" w:hAnsi="Calibri" w:cs="Times New Roman"/>
          <w:noProof w:val="0"/>
          <w:kern w:val="2"/>
        </w:rPr>
      </w:pPr>
      <w:r w:rsidRPr="00762ABF">
        <w:rPr>
          <w:rFonts w:ascii="Calibri" w:eastAsia="Times New Roman" w:hAnsi="Calibri" w:cs="Times New Roman"/>
          <w:noProof w:val="0"/>
          <w:kern w:val="2"/>
        </w:rPr>
        <w:t xml:space="preserve">Na temelju članka 3. </w:t>
      </w:r>
      <w:bookmarkStart w:id="1" w:name="_Hlk158984736"/>
      <w:r w:rsidRPr="00762ABF">
        <w:rPr>
          <w:rFonts w:ascii="Calibri" w:eastAsia="Times New Roman" w:hAnsi="Calibri" w:cs="Times New Roman"/>
          <w:noProof w:val="0"/>
          <w:kern w:val="2"/>
        </w:rPr>
        <w:t xml:space="preserve">Odluke župana Sisačko-moslavačke županije o dodjeli sredstava pomoći za ublažavanje i uklanjanje posljedica prirodnih nepogoda nastalih u srpnju 2023. godine (KLASA: 320-01/23-01/11, URBROJ: 2176-02-23-68 od 15. prosinca 2023. godine) </w:t>
      </w:r>
      <w:bookmarkEnd w:id="1"/>
      <w:r w:rsidRPr="00762ABF">
        <w:rPr>
          <w:rFonts w:ascii="Calibri" w:eastAsia="Times New Roman" w:hAnsi="Calibri" w:cs="Times New Roman"/>
          <w:noProof w:val="0"/>
          <w:kern w:val="2"/>
        </w:rPr>
        <w:t xml:space="preserve">i  članka 26. Statuta Općine Lipovljani (Službeni vjesnik, broj 14/21) na 20. sjednici održanoj </w:t>
      </w:r>
      <w:r w:rsidR="00943261">
        <w:rPr>
          <w:rFonts w:ascii="Calibri" w:eastAsia="Times New Roman" w:hAnsi="Calibri" w:cs="Times New Roman"/>
          <w:noProof w:val="0"/>
          <w:kern w:val="2"/>
        </w:rPr>
        <w:t xml:space="preserve">28. veljače </w:t>
      </w:r>
      <w:r w:rsidRPr="00762ABF">
        <w:rPr>
          <w:rFonts w:ascii="Calibri" w:eastAsia="Times New Roman" w:hAnsi="Calibri" w:cs="Times New Roman"/>
          <w:noProof w:val="0"/>
          <w:kern w:val="2"/>
        </w:rPr>
        <w:t xml:space="preserve">2024. godine, donosi </w:t>
      </w:r>
    </w:p>
    <w:p w14:paraId="2436AFAB" w14:textId="77777777" w:rsidR="00762ABF" w:rsidRPr="00762ABF" w:rsidRDefault="00762ABF" w:rsidP="00762ABF">
      <w:pPr>
        <w:spacing w:after="160" w:line="259" w:lineRule="auto"/>
        <w:rPr>
          <w:rFonts w:ascii="Calibri" w:eastAsia="Times New Roman" w:hAnsi="Calibri" w:cs="Times New Roman"/>
          <w:noProof w:val="0"/>
          <w:kern w:val="2"/>
        </w:rPr>
      </w:pPr>
    </w:p>
    <w:p w14:paraId="60FDF787" w14:textId="77777777" w:rsidR="00762ABF" w:rsidRPr="00762ABF" w:rsidRDefault="00762ABF" w:rsidP="00762ABF">
      <w:pPr>
        <w:spacing w:after="160" w:line="259" w:lineRule="auto"/>
        <w:jc w:val="center"/>
        <w:rPr>
          <w:rFonts w:ascii="Calibri" w:eastAsia="Times New Roman" w:hAnsi="Calibri" w:cs="Times New Roman"/>
          <w:b/>
          <w:bCs/>
          <w:noProof w:val="0"/>
          <w:kern w:val="2"/>
        </w:rPr>
      </w:pPr>
      <w:r w:rsidRPr="00762ABF">
        <w:rPr>
          <w:rFonts w:ascii="Calibri" w:eastAsia="Times New Roman" w:hAnsi="Calibri" w:cs="Times New Roman"/>
          <w:b/>
          <w:bCs/>
          <w:noProof w:val="0"/>
          <w:kern w:val="2"/>
        </w:rPr>
        <w:t>ODLUKU</w:t>
      </w:r>
    </w:p>
    <w:p w14:paraId="53BE0B4B" w14:textId="74379828" w:rsidR="00762ABF" w:rsidRPr="00762ABF" w:rsidRDefault="00762ABF" w:rsidP="00943261">
      <w:pPr>
        <w:spacing w:after="160" w:line="259" w:lineRule="auto"/>
        <w:jc w:val="center"/>
        <w:rPr>
          <w:rFonts w:ascii="Calibri" w:eastAsia="Times New Roman" w:hAnsi="Calibri" w:cs="Times New Roman"/>
          <w:b/>
          <w:bCs/>
          <w:noProof w:val="0"/>
          <w:kern w:val="2"/>
        </w:rPr>
      </w:pPr>
      <w:r w:rsidRPr="00762ABF">
        <w:rPr>
          <w:rFonts w:ascii="Calibri" w:eastAsia="Times New Roman" w:hAnsi="Calibri" w:cs="Times New Roman"/>
          <w:b/>
          <w:bCs/>
          <w:noProof w:val="0"/>
          <w:kern w:val="2"/>
        </w:rPr>
        <w:t xml:space="preserve">o raspodjeli sredstava pomoći po </w:t>
      </w:r>
      <w:proofErr w:type="spellStart"/>
      <w:r w:rsidRPr="00762ABF">
        <w:rPr>
          <w:rFonts w:ascii="Calibri" w:eastAsia="Times New Roman" w:hAnsi="Calibri" w:cs="Times New Roman"/>
          <w:b/>
          <w:bCs/>
          <w:noProof w:val="0"/>
          <w:kern w:val="2"/>
        </w:rPr>
        <w:t>oštećenicima</w:t>
      </w:r>
      <w:bookmarkStart w:id="2" w:name="_GoBack"/>
      <w:bookmarkEnd w:id="2"/>
      <w:proofErr w:type="spellEnd"/>
    </w:p>
    <w:p w14:paraId="3CC4126A" w14:textId="77777777" w:rsidR="00762ABF" w:rsidRPr="00762ABF" w:rsidRDefault="00762ABF" w:rsidP="00762ABF">
      <w:pPr>
        <w:spacing w:after="160" w:line="259" w:lineRule="auto"/>
        <w:jc w:val="center"/>
        <w:rPr>
          <w:rFonts w:ascii="Calibri" w:eastAsia="Times New Roman" w:hAnsi="Calibri" w:cs="Times New Roman"/>
          <w:b/>
          <w:bCs/>
          <w:noProof w:val="0"/>
          <w:kern w:val="2"/>
        </w:rPr>
      </w:pPr>
      <w:r w:rsidRPr="00762ABF">
        <w:rPr>
          <w:rFonts w:ascii="Calibri" w:eastAsia="Times New Roman" w:hAnsi="Calibri" w:cs="Times New Roman"/>
          <w:b/>
          <w:bCs/>
          <w:noProof w:val="0"/>
          <w:kern w:val="2"/>
        </w:rPr>
        <w:t>Članak 1.</w:t>
      </w:r>
    </w:p>
    <w:p w14:paraId="49034200" w14:textId="77777777" w:rsidR="00762ABF" w:rsidRPr="00762ABF" w:rsidRDefault="00762ABF" w:rsidP="00762ABF">
      <w:pPr>
        <w:spacing w:after="160" w:line="259" w:lineRule="auto"/>
        <w:jc w:val="center"/>
        <w:rPr>
          <w:rFonts w:ascii="Calibri" w:eastAsia="Times New Roman" w:hAnsi="Calibri" w:cs="Times New Roman"/>
          <w:b/>
          <w:bCs/>
          <w:noProof w:val="0"/>
          <w:kern w:val="2"/>
        </w:rPr>
      </w:pPr>
    </w:p>
    <w:p w14:paraId="1D07DD82" w14:textId="77777777" w:rsidR="00762ABF" w:rsidRPr="00762ABF" w:rsidRDefault="00762ABF" w:rsidP="00762ABF">
      <w:pPr>
        <w:spacing w:after="160" w:line="259" w:lineRule="auto"/>
        <w:ind w:firstLine="708"/>
        <w:jc w:val="both"/>
        <w:rPr>
          <w:rFonts w:ascii="Calibri" w:eastAsia="Times New Roman" w:hAnsi="Calibri" w:cs="Times New Roman"/>
          <w:noProof w:val="0"/>
          <w:kern w:val="2"/>
        </w:rPr>
      </w:pPr>
      <w:r w:rsidRPr="00762ABF">
        <w:rPr>
          <w:rFonts w:ascii="Calibri" w:eastAsia="Times New Roman" w:hAnsi="Calibri" w:cs="Times New Roman"/>
          <w:noProof w:val="0"/>
          <w:kern w:val="2"/>
        </w:rPr>
        <w:t xml:space="preserve">Ovom Odlukom utvrđuje se raspodjela sredstava pomoći po </w:t>
      </w:r>
      <w:proofErr w:type="spellStart"/>
      <w:r w:rsidRPr="00762ABF">
        <w:rPr>
          <w:rFonts w:ascii="Calibri" w:eastAsia="Times New Roman" w:hAnsi="Calibri" w:cs="Times New Roman"/>
          <w:noProof w:val="0"/>
          <w:kern w:val="2"/>
        </w:rPr>
        <w:t>oštećenicima</w:t>
      </w:r>
      <w:proofErr w:type="spellEnd"/>
      <w:r w:rsidRPr="00762ABF">
        <w:rPr>
          <w:rFonts w:ascii="Calibri" w:eastAsia="Times New Roman" w:hAnsi="Calibri" w:cs="Times New Roman"/>
          <w:noProof w:val="0"/>
          <w:kern w:val="2"/>
        </w:rPr>
        <w:t xml:space="preserve"> odobrenih Odlukom župana Sisačko-moslavačke županije o dodjeli sredstava pomoći za ublažavanje i uklanjanje posljedica prirodnih nepogoda nastalih u srpnju 2023. godine (KLASA: 320-01/23-01/11, URBROJ: 2176-02-23-68 od 15. prosinca 2023. godine) u iznosu od 24.797,28 eura za Općinu Lipovljani.</w:t>
      </w:r>
    </w:p>
    <w:p w14:paraId="51C98018" w14:textId="77777777" w:rsidR="00762ABF" w:rsidRPr="00762ABF" w:rsidRDefault="00762ABF" w:rsidP="00762ABF">
      <w:pPr>
        <w:spacing w:after="160" w:line="259" w:lineRule="auto"/>
        <w:jc w:val="center"/>
        <w:rPr>
          <w:rFonts w:ascii="Calibri" w:eastAsia="Times New Roman" w:hAnsi="Calibri" w:cs="Times New Roman"/>
          <w:b/>
          <w:bCs/>
          <w:noProof w:val="0"/>
          <w:kern w:val="2"/>
        </w:rPr>
      </w:pPr>
      <w:r w:rsidRPr="00762ABF">
        <w:rPr>
          <w:rFonts w:ascii="Calibri" w:eastAsia="Times New Roman" w:hAnsi="Calibri" w:cs="Times New Roman"/>
          <w:b/>
          <w:bCs/>
          <w:noProof w:val="0"/>
          <w:kern w:val="2"/>
        </w:rPr>
        <w:t>Članak 2.</w:t>
      </w:r>
    </w:p>
    <w:p w14:paraId="3A43F794" w14:textId="77777777" w:rsidR="00762ABF" w:rsidRPr="00762ABF" w:rsidRDefault="00762ABF" w:rsidP="00762ABF">
      <w:pPr>
        <w:spacing w:after="160" w:line="259" w:lineRule="auto"/>
        <w:ind w:firstLine="708"/>
        <w:jc w:val="both"/>
        <w:rPr>
          <w:rFonts w:ascii="Calibri" w:eastAsia="Times New Roman" w:hAnsi="Calibri" w:cs="Times New Roman"/>
          <w:noProof w:val="0"/>
          <w:kern w:val="2"/>
        </w:rPr>
      </w:pPr>
      <w:r w:rsidRPr="00762ABF">
        <w:rPr>
          <w:rFonts w:ascii="Calibri" w:eastAsia="Times New Roman" w:hAnsi="Calibri" w:cs="Times New Roman"/>
          <w:noProof w:val="0"/>
          <w:kern w:val="2"/>
        </w:rPr>
        <w:t xml:space="preserve">Sredstva pomoći iz članka 1. ove Odluke daju se kao pomoć za ublažavanje i uklanjanje posljedica prirodnih nepogoda nastalih u srpnju 2023. godine, za pokriće od 10,08% prijavljenih šteta na području Općine Lipovljani na obiteljskim i </w:t>
      </w:r>
      <w:proofErr w:type="spellStart"/>
      <w:r w:rsidRPr="00762ABF">
        <w:rPr>
          <w:rFonts w:ascii="Calibri" w:eastAsia="Times New Roman" w:hAnsi="Calibri" w:cs="Times New Roman"/>
          <w:noProof w:val="0"/>
          <w:kern w:val="2"/>
        </w:rPr>
        <w:t>višestambenim</w:t>
      </w:r>
      <w:proofErr w:type="spellEnd"/>
      <w:r w:rsidRPr="00762ABF">
        <w:rPr>
          <w:rFonts w:ascii="Calibri" w:eastAsia="Times New Roman" w:hAnsi="Calibri" w:cs="Times New Roman"/>
          <w:noProof w:val="0"/>
          <w:kern w:val="2"/>
        </w:rPr>
        <w:t xml:space="preserve"> neosiguranim objektima u vlasništvu fizičkih osoba.</w:t>
      </w:r>
    </w:p>
    <w:p w14:paraId="5C7DC0F4" w14:textId="77777777" w:rsidR="00762ABF" w:rsidRPr="00762ABF" w:rsidRDefault="00762ABF" w:rsidP="00762ABF">
      <w:pPr>
        <w:spacing w:after="160" w:line="259" w:lineRule="auto"/>
        <w:ind w:firstLine="708"/>
        <w:jc w:val="both"/>
        <w:rPr>
          <w:rFonts w:ascii="Calibri" w:eastAsia="Times New Roman" w:hAnsi="Calibri" w:cs="Times New Roman"/>
          <w:noProof w:val="0"/>
          <w:kern w:val="2"/>
        </w:rPr>
      </w:pPr>
      <w:r w:rsidRPr="00762ABF">
        <w:rPr>
          <w:rFonts w:ascii="Calibri" w:eastAsia="Times New Roman" w:hAnsi="Calibri" w:cs="Times New Roman"/>
          <w:noProof w:val="0"/>
          <w:kern w:val="2"/>
        </w:rPr>
        <w:t xml:space="preserve">Vrijednost prijavljenih šteta na obiteljskim i </w:t>
      </w:r>
      <w:proofErr w:type="spellStart"/>
      <w:r w:rsidRPr="00762ABF">
        <w:rPr>
          <w:rFonts w:ascii="Calibri" w:eastAsia="Times New Roman" w:hAnsi="Calibri" w:cs="Times New Roman"/>
          <w:noProof w:val="0"/>
          <w:kern w:val="2"/>
        </w:rPr>
        <w:t>višestambenim</w:t>
      </w:r>
      <w:proofErr w:type="spellEnd"/>
      <w:r w:rsidRPr="00762ABF">
        <w:rPr>
          <w:rFonts w:ascii="Calibri" w:eastAsia="Times New Roman" w:hAnsi="Calibri" w:cs="Times New Roman"/>
          <w:noProof w:val="0"/>
          <w:kern w:val="2"/>
        </w:rPr>
        <w:t xml:space="preserve"> neosiguranim objektima u vlasništvu fizičkih osoba utvrđuje se temeljem podataka iz Registra šteta, a isplaćuje na transakcijske račune </w:t>
      </w:r>
      <w:proofErr w:type="spellStart"/>
      <w:r w:rsidRPr="00762ABF">
        <w:rPr>
          <w:rFonts w:ascii="Calibri" w:eastAsia="Times New Roman" w:hAnsi="Calibri" w:cs="Times New Roman"/>
          <w:noProof w:val="0"/>
          <w:kern w:val="2"/>
        </w:rPr>
        <w:t>oštećenika</w:t>
      </w:r>
      <w:proofErr w:type="spellEnd"/>
      <w:r w:rsidRPr="00762ABF">
        <w:rPr>
          <w:rFonts w:ascii="Calibri" w:eastAsia="Times New Roman" w:hAnsi="Calibri" w:cs="Times New Roman"/>
          <w:noProof w:val="0"/>
          <w:kern w:val="2"/>
        </w:rPr>
        <w:t>.</w:t>
      </w:r>
    </w:p>
    <w:p w14:paraId="5F6048D3" w14:textId="77777777" w:rsidR="00762ABF" w:rsidRPr="00762ABF" w:rsidRDefault="00762ABF" w:rsidP="00762ABF">
      <w:pPr>
        <w:spacing w:after="160" w:line="259" w:lineRule="auto"/>
        <w:jc w:val="center"/>
        <w:rPr>
          <w:rFonts w:ascii="Calibri" w:eastAsia="Times New Roman" w:hAnsi="Calibri" w:cs="Times New Roman"/>
          <w:b/>
          <w:bCs/>
          <w:noProof w:val="0"/>
          <w:kern w:val="2"/>
        </w:rPr>
      </w:pPr>
      <w:r w:rsidRPr="00762ABF">
        <w:rPr>
          <w:rFonts w:ascii="Calibri" w:eastAsia="Times New Roman" w:hAnsi="Calibri" w:cs="Times New Roman"/>
          <w:b/>
          <w:bCs/>
          <w:noProof w:val="0"/>
          <w:kern w:val="2"/>
        </w:rPr>
        <w:t>Članak 3.</w:t>
      </w:r>
    </w:p>
    <w:p w14:paraId="0BD6ADFB" w14:textId="77777777" w:rsidR="00762ABF" w:rsidRPr="00762ABF" w:rsidRDefault="00762ABF" w:rsidP="00762ABF">
      <w:pPr>
        <w:spacing w:after="160" w:line="259" w:lineRule="auto"/>
        <w:ind w:firstLine="708"/>
        <w:jc w:val="both"/>
        <w:rPr>
          <w:rFonts w:ascii="Calibri" w:eastAsia="Times New Roman" w:hAnsi="Calibri" w:cs="Times New Roman"/>
          <w:noProof w:val="0"/>
          <w:kern w:val="2"/>
        </w:rPr>
      </w:pPr>
      <w:r w:rsidRPr="00762ABF">
        <w:rPr>
          <w:rFonts w:ascii="Calibri" w:eastAsia="Times New Roman" w:hAnsi="Calibri" w:cs="Times New Roman"/>
          <w:noProof w:val="0"/>
          <w:kern w:val="2"/>
        </w:rPr>
        <w:t>Zadužuje se Jedinstveni upravni odjel Općine Lipovljani za provedbu ove Odluke.</w:t>
      </w:r>
    </w:p>
    <w:p w14:paraId="45DD3C2B" w14:textId="77777777" w:rsidR="00762ABF" w:rsidRPr="00762ABF" w:rsidRDefault="00762ABF" w:rsidP="00762ABF">
      <w:pPr>
        <w:spacing w:after="160" w:line="259" w:lineRule="auto"/>
        <w:jc w:val="center"/>
        <w:rPr>
          <w:rFonts w:ascii="Calibri" w:eastAsia="Times New Roman" w:hAnsi="Calibri" w:cs="Times New Roman"/>
          <w:b/>
          <w:bCs/>
          <w:noProof w:val="0"/>
          <w:kern w:val="2"/>
        </w:rPr>
      </w:pPr>
      <w:r w:rsidRPr="00762ABF">
        <w:rPr>
          <w:rFonts w:ascii="Calibri" w:eastAsia="Times New Roman" w:hAnsi="Calibri" w:cs="Times New Roman"/>
          <w:b/>
          <w:bCs/>
          <w:noProof w:val="0"/>
          <w:kern w:val="2"/>
        </w:rPr>
        <w:t>Članak 4.</w:t>
      </w:r>
    </w:p>
    <w:p w14:paraId="535A0A1F" w14:textId="77777777" w:rsidR="00762ABF" w:rsidRPr="00762ABF" w:rsidRDefault="00762ABF" w:rsidP="00762ABF">
      <w:pPr>
        <w:spacing w:after="160" w:line="259" w:lineRule="auto"/>
        <w:ind w:firstLine="708"/>
        <w:jc w:val="both"/>
        <w:rPr>
          <w:rFonts w:ascii="Calibri" w:eastAsia="Times New Roman" w:hAnsi="Calibri" w:cs="Times New Roman"/>
          <w:noProof w:val="0"/>
          <w:kern w:val="2"/>
        </w:rPr>
      </w:pPr>
      <w:r w:rsidRPr="00762ABF">
        <w:rPr>
          <w:rFonts w:ascii="Calibri" w:eastAsia="Times New Roman" w:hAnsi="Calibri" w:cs="Times New Roman"/>
          <w:noProof w:val="0"/>
          <w:kern w:val="2"/>
        </w:rPr>
        <w:t>Ova Odluka stupa na snagu osmi dan od dana objave u Službenom vjesniku.</w:t>
      </w:r>
    </w:p>
    <w:p w14:paraId="4043328F" w14:textId="77777777" w:rsidR="00762ABF" w:rsidRPr="00762ABF" w:rsidRDefault="00762ABF" w:rsidP="00762ABF">
      <w:pPr>
        <w:spacing w:after="160" w:line="259" w:lineRule="auto"/>
        <w:ind w:firstLine="708"/>
        <w:jc w:val="both"/>
        <w:rPr>
          <w:rFonts w:ascii="Calibri" w:eastAsia="Times New Roman" w:hAnsi="Calibri" w:cs="Times New Roman"/>
          <w:noProof w:val="0"/>
          <w:kern w:val="2"/>
        </w:rPr>
      </w:pPr>
    </w:p>
    <w:p w14:paraId="6CF775FB" w14:textId="77777777" w:rsidR="00762ABF" w:rsidRPr="00762ABF" w:rsidRDefault="00762ABF" w:rsidP="00762ABF">
      <w:pPr>
        <w:spacing w:after="160" w:line="259" w:lineRule="auto"/>
        <w:jc w:val="right"/>
        <w:rPr>
          <w:rFonts w:ascii="Calibri" w:eastAsia="Times New Roman" w:hAnsi="Calibri" w:cs="Times New Roman"/>
          <w:noProof w:val="0"/>
          <w:kern w:val="2"/>
        </w:rPr>
      </w:pPr>
      <w:r w:rsidRPr="00762ABF">
        <w:rPr>
          <w:rFonts w:ascii="Calibri" w:eastAsia="Times New Roman" w:hAnsi="Calibri" w:cs="Times New Roman"/>
          <w:noProof w:val="0"/>
          <w:kern w:val="2"/>
        </w:rPr>
        <w:t>Predsjednik</w:t>
      </w:r>
    </w:p>
    <w:p w14:paraId="6C761CCF" w14:textId="77777777" w:rsidR="00762ABF" w:rsidRPr="00762ABF" w:rsidRDefault="00762ABF" w:rsidP="00762ABF">
      <w:pPr>
        <w:spacing w:after="160" w:line="259" w:lineRule="auto"/>
        <w:jc w:val="right"/>
        <w:rPr>
          <w:rFonts w:ascii="Calibri" w:eastAsia="Times New Roman" w:hAnsi="Calibri" w:cs="Times New Roman"/>
          <w:noProof w:val="0"/>
          <w:kern w:val="2"/>
        </w:rPr>
      </w:pPr>
      <w:r w:rsidRPr="00762ABF">
        <w:rPr>
          <w:rFonts w:ascii="Calibri" w:eastAsia="Times New Roman" w:hAnsi="Calibri" w:cs="Times New Roman"/>
          <w:noProof w:val="0"/>
          <w:kern w:val="2"/>
        </w:rPr>
        <w:t xml:space="preserve">Tomislav Lukšić, </w:t>
      </w:r>
      <w:proofErr w:type="spellStart"/>
      <w:r w:rsidRPr="00762ABF">
        <w:rPr>
          <w:rFonts w:ascii="Calibri" w:eastAsia="Times New Roman" w:hAnsi="Calibri" w:cs="Times New Roman"/>
          <w:noProof w:val="0"/>
          <w:kern w:val="2"/>
        </w:rPr>
        <w:t>dipl.ing.šum</w:t>
      </w:r>
      <w:proofErr w:type="spellEnd"/>
      <w:r w:rsidRPr="00762ABF">
        <w:rPr>
          <w:rFonts w:ascii="Calibri" w:eastAsia="Times New Roman" w:hAnsi="Calibri" w:cs="Times New Roman"/>
          <w:noProof w:val="0"/>
          <w:kern w:val="2"/>
        </w:rPr>
        <w:t>.</w:t>
      </w:r>
    </w:p>
    <w:p w14:paraId="2CC29A52" w14:textId="77777777" w:rsidR="00D707B3" w:rsidRDefault="00D707B3" w:rsidP="00D707B3"/>
    <w:p w14:paraId="4F3B13DE" w14:textId="77777777" w:rsidR="00D707B3" w:rsidRDefault="00D707B3" w:rsidP="00D707B3"/>
    <w:p w14:paraId="2DE46E4B" w14:textId="77777777" w:rsidR="00D707B3" w:rsidRDefault="00D707B3" w:rsidP="00D707B3">
      <w:pPr>
        <w:jc w:val="right"/>
      </w:pPr>
    </w:p>
    <w:p w14:paraId="2F67EE11" w14:textId="77777777" w:rsidR="00D707B3" w:rsidRDefault="00D707B3" w:rsidP="00D707B3"/>
    <w:p w14:paraId="5D8B9E09" w14:textId="77777777" w:rsidR="00B92D0F" w:rsidRPr="00B92D0F" w:rsidRDefault="00B92D0F" w:rsidP="00B92D0F">
      <w:pPr>
        <w:spacing w:after="160" w:line="259" w:lineRule="auto"/>
        <w:jc w:val="right"/>
        <w:rPr>
          <w:rFonts w:eastAsia="Times New Roman" w:cs="Times New Roman"/>
          <w:noProof w:val="0"/>
        </w:rPr>
      </w:pPr>
    </w:p>
    <w:p w14:paraId="503AA9F7" w14:textId="77777777" w:rsidR="00B92D0F" w:rsidRPr="00B92D0F" w:rsidRDefault="00B92D0F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75975BBE" w14:textId="77777777" w:rsidR="00B92D0F" w:rsidRPr="00B92D0F" w:rsidRDefault="00B92D0F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4AA78142" w14:textId="77777777" w:rsidR="00B92D0F" w:rsidRPr="00B92D0F" w:rsidRDefault="00B92D0F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53408CE5" w14:textId="12261E34" w:rsidR="008A562A" w:rsidRDefault="00D707B3">
      <w:pPr>
        <w:rPr>
          <w:b/>
        </w:rPr>
      </w:pPr>
      <w:r>
        <w:rPr>
          <w:b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E6A168A" wp14:editId="71E2500E">
                <wp:simplePos x="0" y="0"/>
                <wp:positionH relativeFrom="page">
                  <wp:posOffset>109220</wp:posOffset>
                </wp:positionH>
                <wp:positionV relativeFrom="page">
                  <wp:posOffset>9266555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7777777" w:rsidR="008A562A" w:rsidRDefault="008A562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sdtdh="http://schemas.microsoft.com/office/word/2020/wordml/sdtdatahash" xmlns:w16cex="http://schemas.microsoft.com/office/word/2018/wordml/cex" xmlns:wp15="http://schemas.microsoft.com/office/word/2012/wordprocessingDrawing" xmlns:a18hc="http://schemas.microsoft.com/office/drawing/2018/hyperlinkcolor" xmlns:adec="http://schemas.microsoft.com/office/drawing/2017/decorative" xmlns:a16svg="http://schemas.microsoft.com/office/drawing/2016/SVG/main" xmlns:dgm1612="http://schemas.microsoft.com/office/drawing/2016/12/diagram" xmlns:a1611="http://schemas.microsoft.com/office/drawing/2016/11/main" xmlns:a16="http://schemas.microsoft.com/office/drawing/2014/main" xmlns:c16ac="http://schemas.microsoft.com/office/drawing/2014/chart/ac" xmlns:pic14="http://schemas.microsoft.com/office/drawing/2010/picture" xmlns:a15="http://schemas.microsoft.com/office/drawing/2012/main" xmlns:dgm14="http://schemas.microsoft.com/office/drawing/2010/diagram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thm15="http://schemas.microsoft.com/office/thememl/2012/main" xmlns:iact="http://schemas.microsoft.com/office/powerpoint/2014/inkAction" xmlns:anam3d="http://schemas.microsoft.com/office/drawing/2018/animation/model3d" xmlns:an18="http://schemas.microsoft.com/office/drawing/2018/animation" xmlns:c173="http://schemas.microsoft.com/office/drawing/2017/03/chart" xmlns:dgm1611="http://schemas.microsoft.com/office/drawing/2016/11/diagram" xmlns:c16="http://schemas.microsoft.com/office/drawing/2014/chart" xmlns:a13cmd="http://schemas.microsoft.com/office/drawing/2013/main/command" xmlns:ns39="http://www.w3.org/2003/InkML" xmlns:ns38="http://www.w3.org/1998/Math/MathML" xmlns:cs="http://schemas.microsoft.com/office/drawing/2012/chartStyle" xmlns:c15="http://schemas.microsoft.com/office/drawing/2012/chart" xmlns:cdr14="http://schemas.microsoft.com/office/drawing/2010/chartDrawing" xmlns:msink="http://schemas.microsoft.com/ink/2010/main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14="http://schemas.microsoft.com/office/drawing/2010/main" xmlns:a="http://schemas.openxmlformats.org/drawingml/2006/main">
            <w:pict>
              <v:shapetype o:spt="202.0" path="m,l,21600r21600,l21600,xe" coordsize="21600,21600" id="_x0000_t202">
                <v:stroke joinstyle="miter"/>
                <v:path gradientshapeok="t" o:connecttype="rec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" type="#_x0000_t202" style="position:absolute;margin-left:8.6pt;margin-top:729.65pt;width:278.35pt;height:79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id="Text Box 2" o:spid="_x0000_s1026" stroked="f">
                <v:textbox>
                  <w:txbxContent>
                    <w:p w:rsidR="008A562A" w:rsidRDefault="008A562A" w14:paraId="76EF94CE" w14:textId="77777777">
                      <w:pPr>
                        <w:contextualSpacing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11668D"/>
    <w:rsid w:val="00275B0C"/>
    <w:rsid w:val="00347D72"/>
    <w:rsid w:val="003F65C1"/>
    <w:rsid w:val="004F7347"/>
    <w:rsid w:val="00693AB1"/>
    <w:rsid w:val="00762ABF"/>
    <w:rsid w:val="008A562A"/>
    <w:rsid w:val="008C5FE5"/>
    <w:rsid w:val="00943261"/>
    <w:rsid w:val="009B7A12"/>
    <w:rsid w:val="00A836D0"/>
    <w:rsid w:val="00AC35DA"/>
    <w:rsid w:val="00B92D0F"/>
    <w:rsid w:val="00C9578C"/>
    <w:rsid w:val="00D707B3"/>
    <w:rsid w:val="00E0451B"/>
    <w:rsid w:val="00E55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B5B9D073-F343-4DC5-9864-26883B9AC4F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Danijela Matejaš</cp:lastModifiedBy>
  <cp:revision>5</cp:revision>
  <cp:lastPrinted>2014-11-26T14:09:00Z</cp:lastPrinted>
  <dcterms:created xsi:type="dcterms:W3CDTF">2023-03-07T08:10:00Z</dcterms:created>
  <dcterms:modified xsi:type="dcterms:W3CDTF">2024-02-29T11:26:00Z</dcterms:modified>
</cp:coreProperties>
</file>