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+*yqw*gdz*uac*woC*xag*ycf*zbF*Bjq*obC*xCc*zew*-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+*eDs*ufy*lyd*lyd*lyd*Evw*Boi*zCt*mbx*xbo*zfE*-</w:t>
            </w:r>
            <w:r>
              <w:rPr>
                <w:rFonts w:ascii="PDF417x" w:hAnsi="PDF417x"/>
                <w:sz w:val="24"/>
                <w:szCs w:val="24"/>
              </w:rPr>
              <w:br/>
              <w:t>+*ftw*vcs*mvk*iwE*xxn*bbc*llB*giD*raB*lBD*onA*-</w:t>
            </w:r>
            <w:r>
              <w:rPr>
                <w:rFonts w:ascii="PDF417x" w:hAnsi="PDF417x"/>
                <w:sz w:val="24"/>
                <w:szCs w:val="24"/>
              </w:rPr>
              <w:br/>
              <w:t>+*ftA*wix*zhr*izl*nuz*fwa*stt*izo*tAh*Ebv*uws*-</w:t>
            </w:r>
            <w:r>
              <w:rPr>
                <w:rFonts w:ascii="PDF417x" w:hAnsi="PDF417x"/>
                <w:sz w:val="24"/>
                <w:szCs w:val="24"/>
              </w:rPr>
              <w:br/>
              <w:t>+*xjq*jBC*isb*qkj*hAw*djA*gds*khj*bcg*wrv*uzq*-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66C22298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3379EE20" w14:textId="75CA8358" w:rsidR="00B92D0F" w:rsidRDefault="00297009" w:rsidP="00B92D0F">
      <w:pPr>
        <w:jc w:val="both"/>
        <w:rPr>
          <w:rFonts w:eastAsia="Times New Roman" w:cs="Times New Roman"/>
          <w:noProof w:val="0"/>
        </w:rPr>
      </w:pPr>
      <w:r>
        <w:rPr>
          <w:rFonts w:eastAsia="Times New Roman" w:cs="Times New Roman"/>
          <w:noProof w:val="0"/>
        </w:rPr>
        <w:t>OPĆINSKO VIJEĆE</w:t>
      </w:r>
    </w:p>
    <w:p w14:paraId="751DB3D6" w14:textId="77777777" w:rsidR="00297009" w:rsidRPr="00B92D0F" w:rsidRDefault="00297009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972-01/24-01/2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2176-13-24-2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28.02.2024.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6852CC72" w14:textId="303CA195" w:rsidR="004F7347" w:rsidRDefault="004F7347" w:rsidP="00297009">
      <w:pPr>
        <w:ind w:firstLine="708"/>
        <w:jc w:val="both"/>
      </w:pPr>
      <w:r>
        <w:t xml:space="preserve">Na temelju članka </w:t>
      </w:r>
      <w:r w:rsidR="00451553">
        <w:t>7. Odluke o raspolaganju i upravljanju nekretninama u vlasništvu Lipovljani (Službeni vjesnik, broj 13/17, 72/20) i članka 26</w:t>
      </w:r>
      <w:r>
        <w:t>. Statuta Općine Lipovljani („Službeni vjesnik“, broj: 14/21), Općinsk</w:t>
      </w:r>
      <w:r w:rsidR="00451553">
        <w:t>o vijeće Općine Lipovljani na 20. sjednici održanoj 28. veljače, donosi</w:t>
      </w:r>
    </w:p>
    <w:p w14:paraId="4B7A15BE" w14:textId="77777777" w:rsidR="004F7347" w:rsidRDefault="004F7347" w:rsidP="004F7347"/>
    <w:p w14:paraId="61BE0E12" w14:textId="0F89161A" w:rsidR="004F7347" w:rsidRPr="00297009" w:rsidRDefault="004F7347" w:rsidP="00297009">
      <w:pPr>
        <w:jc w:val="center"/>
        <w:rPr>
          <w:b/>
        </w:rPr>
      </w:pPr>
      <w:r w:rsidRPr="00297009">
        <w:rPr>
          <w:b/>
        </w:rPr>
        <w:t>ODLUKU</w:t>
      </w:r>
    </w:p>
    <w:p w14:paraId="2BF7489A" w14:textId="197281BB" w:rsidR="004F7347" w:rsidRDefault="004F7347" w:rsidP="004F7347"/>
    <w:p w14:paraId="48A91842" w14:textId="7C8D0743" w:rsidR="004F7347" w:rsidRDefault="004F7347" w:rsidP="004F7347">
      <w:pPr>
        <w:jc w:val="center"/>
      </w:pPr>
      <w:r>
        <w:t>I.</w:t>
      </w:r>
    </w:p>
    <w:p w14:paraId="4031E83D" w14:textId="77777777" w:rsidR="004F7347" w:rsidRDefault="004F7347" w:rsidP="004F7347">
      <w:pPr>
        <w:jc w:val="center"/>
      </w:pPr>
    </w:p>
    <w:p w14:paraId="7D32C613" w14:textId="348C251F" w:rsidR="004F7347" w:rsidRDefault="00451553" w:rsidP="00297009">
      <w:pPr>
        <w:ind w:firstLine="708"/>
        <w:jc w:val="both"/>
      </w:pPr>
      <w:r>
        <w:t>Donosi se Strategija upravljanja imovinom u vlasništvu Oopćine Lipovljani za razdoblje 2024.-2027. godine.</w:t>
      </w:r>
    </w:p>
    <w:p w14:paraId="7F78D3C6" w14:textId="7E78DDD6" w:rsidR="00451553" w:rsidRDefault="00451553" w:rsidP="00297009">
      <w:pPr>
        <w:ind w:firstLine="708"/>
        <w:jc w:val="both"/>
      </w:pPr>
      <w:r>
        <w:t xml:space="preserve">Strategija upravljanja imovinom iz stavka 1 ove točke sastavni je dio </w:t>
      </w:r>
      <w:r w:rsidR="00297009">
        <w:t xml:space="preserve">ove </w:t>
      </w:r>
      <w:bookmarkStart w:id="1" w:name="_GoBack"/>
      <w:bookmarkEnd w:id="1"/>
      <w:r>
        <w:t>Odluke.</w:t>
      </w:r>
    </w:p>
    <w:p w14:paraId="4B22DF01" w14:textId="77777777" w:rsidR="004F7347" w:rsidRDefault="004F7347" w:rsidP="004F7347">
      <w:pPr>
        <w:jc w:val="center"/>
      </w:pPr>
    </w:p>
    <w:p w14:paraId="7A72D7D4" w14:textId="53D714F9" w:rsidR="004F7347" w:rsidRDefault="004F7347" w:rsidP="004F7347">
      <w:pPr>
        <w:jc w:val="center"/>
      </w:pPr>
      <w:r>
        <w:t>II.</w:t>
      </w:r>
    </w:p>
    <w:p w14:paraId="1A146D6D" w14:textId="476B0CDA" w:rsidR="004F7347" w:rsidRDefault="004F7347" w:rsidP="004F7347"/>
    <w:p w14:paraId="1CB6B316" w14:textId="46DBC164" w:rsidR="004F7347" w:rsidRDefault="00451553" w:rsidP="00297009">
      <w:pPr>
        <w:ind w:firstLine="708"/>
      </w:pPr>
      <w:r>
        <w:t>Ova Odluka stupa na snagu osmi dan od dana objave u Službenom vjesniku.</w:t>
      </w:r>
    </w:p>
    <w:p w14:paraId="4DF81842" w14:textId="07839E79" w:rsidR="004F7347" w:rsidRDefault="004F7347" w:rsidP="004F7347"/>
    <w:p w14:paraId="41C76CAD" w14:textId="77777777" w:rsidR="004F7347" w:rsidRDefault="004F7347" w:rsidP="004F7347"/>
    <w:p w14:paraId="480297F2" w14:textId="77777777" w:rsidR="004F7347" w:rsidRDefault="004F7347" w:rsidP="004F7347"/>
    <w:p w14:paraId="0A1BE35F" w14:textId="77777777" w:rsidR="004F7347" w:rsidRDefault="004F7347" w:rsidP="004F7347"/>
    <w:p w14:paraId="268BF250" w14:textId="77777777" w:rsidR="004F7347" w:rsidRDefault="004F7347" w:rsidP="004F7347"/>
    <w:p w14:paraId="49D3E1B0" w14:textId="77777777" w:rsidR="00451553" w:rsidRDefault="004F7347" w:rsidP="00451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51553">
        <w:t>Predsjednik</w:t>
      </w:r>
    </w:p>
    <w:p w14:paraId="65CCE0B1" w14:textId="24F096FD" w:rsidR="00451553" w:rsidRDefault="00451553" w:rsidP="00451553">
      <w:r>
        <w:t xml:space="preserve">                                                                                                    Tomislav Lukšić, dipl.ing.šum.</w:t>
      </w:r>
    </w:p>
    <w:p w14:paraId="1A692848" w14:textId="4124CC35" w:rsidR="00D707B3" w:rsidRDefault="00D707B3" w:rsidP="00D707B3"/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297009"/>
    <w:rsid w:val="00347D72"/>
    <w:rsid w:val="003F65C1"/>
    <w:rsid w:val="00451553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D386C13-2A21-4DF8-8C6B-63773926713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Danijela Matejaš</cp:lastModifiedBy>
  <cp:revision>5</cp:revision>
  <cp:lastPrinted>2014-11-26T14:09:00Z</cp:lastPrinted>
  <dcterms:created xsi:type="dcterms:W3CDTF">2023-03-07T08:10:00Z</dcterms:created>
  <dcterms:modified xsi:type="dcterms:W3CDTF">2024-03-01T08:36:00Z</dcterms:modified>
</cp:coreProperties>
</file>