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19A2" w14:textId="77D0590B" w:rsidR="00514FB8" w:rsidRPr="00D3618E" w:rsidRDefault="00514FB8" w:rsidP="004C3F23">
      <w:pPr>
        <w:rPr>
          <w:rFonts w:ascii="Arial" w:hAnsi="Arial" w:cs="Arial"/>
          <w:lang w:eastAsia="hr-HR"/>
        </w:rPr>
      </w:pPr>
      <w:r w:rsidRPr="00D3618E">
        <w:rPr>
          <w:rFonts w:ascii="Arial" w:hAnsi="Arial" w:cs="Arial"/>
          <w:lang w:eastAsia="hr-HR"/>
        </w:rPr>
        <w:t>OPĆINA LIPOVLJANI</w:t>
      </w:r>
    </w:p>
    <w:p w14:paraId="60A59EEF" w14:textId="09C34DD8" w:rsidR="00A1521B" w:rsidRPr="00D3618E" w:rsidRDefault="00A1521B" w:rsidP="004C3F23">
      <w:pPr>
        <w:rPr>
          <w:rFonts w:ascii="Arial" w:hAnsi="Arial" w:cs="Arial"/>
          <w:lang w:eastAsia="hr-HR"/>
        </w:rPr>
      </w:pPr>
      <w:r w:rsidRPr="00D3618E">
        <w:rPr>
          <w:rFonts w:ascii="Arial" w:hAnsi="Arial" w:cs="Arial"/>
          <w:lang w:eastAsia="hr-HR"/>
        </w:rPr>
        <w:t>POVJERENSTVO ZA PROVOĐENJE</w:t>
      </w:r>
    </w:p>
    <w:p w14:paraId="4CCF1D67" w14:textId="313AAACC" w:rsidR="00A1521B" w:rsidRPr="00D3618E" w:rsidRDefault="00D3618E" w:rsidP="004C3F23">
      <w:pPr>
        <w:rPr>
          <w:rFonts w:ascii="Arial" w:hAnsi="Arial" w:cs="Arial"/>
          <w:lang w:eastAsia="hr-HR"/>
        </w:rPr>
      </w:pPr>
      <w:r w:rsidRPr="00D3618E">
        <w:rPr>
          <w:rFonts w:ascii="Arial" w:hAnsi="Arial" w:cs="Arial"/>
          <w:lang w:eastAsia="hr-HR"/>
        </w:rPr>
        <w:t>NATJEČAJA</w:t>
      </w:r>
      <w:r w:rsidR="00A1521B" w:rsidRPr="00D3618E">
        <w:rPr>
          <w:rFonts w:ascii="Arial" w:hAnsi="Arial" w:cs="Arial"/>
          <w:lang w:eastAsia="hr-HR"/>
        </w:rPr>
        <w:t xml:space="preserve"> ZA PRIJAM U SLUŽBU</w:t>
      </w:r>
    </w:p>
    <w:p w14:paraId="40A7C572" w14:textId="670AC0E0" w:rsidR="00A1521B" w:rsidRPr="00D3618E" w:rsidRDefault="00D3618E" w:rsidP="004C3F23">
      <w:pPr>
        <w:rPr>
          <w:rFonts w:ascii="Arial" w:hAnsi="Arial" w:cs="Arial"/>
          <w:lang w:eastAsia="hr-HR"/>
        </w:rPr>
      </w:pPr>
      <w:r w:rsidRPr="00D3618E">
        <w:rPr>
          <w:rFonts w:ascii="Arial" w:hAnsi="Arial" w:cs="Arial"/>
          <w:lang w:eastAsia="hr-HR"/>
        </w:rPr>
        <w:t>VIŠEG REFERENTA – ADMINISTARTIVNOG DJELATNIKA ZA PROJEKTE</w:t>
      </w:r>
    </w:p>
    <w:p w14:paraId="7F4E75C2" w14:textId="77777777" w:rsidR="00A1521B" w:rsidRPr="00A1521B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0008A165" w14:textId="07EBA6A1" w:rsidR="00A1521B" w:rsidRPr="00D3618E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D3618E">
        <w:rPr>
          <w:rFonts w:ascii="Arial" w:eastAsia="Times New Roman" w:hAnsi="Arial" w:cs="Arial"/>
          <w:lang w:eastAsia="hr-HR"/>
        </w:rPr>
        <w:t>KLASA: 112-0</w:t>
      </w:r>
      <w:r w:rsidR="00D3618E">
        <w:rPr>
          <w:rFonts w:ascii="Arial" w:eastAsia="Times New Roman" w:hAnsi="Arial" w:cs="Arial"/>
          <w:lang w:eastAsia="hr-HR"/>
        </w:rPr>
        <w:t>2</w:t>
      </w:r>
      <w:r w:rsidRPr="00D3618E">
        <w:rPr>
          <w:rFonts w:ascii="Arial" w:eastAsia="Times New Roman" w:hAnsi="Arial" w:cs="Arial"/>
          <w:lang w:eastAsia="hr-HR"/>
        </w:rPr>
        <w:t>/2</w:t>
      </w:r>
      <w:r w:rsidR="00D3618E">
        <w:rPr>
          <w:rFonts w:ascii="Arial" w:eastAsia="Times New Roman" w:hAnsi="Arial" w:cs="Arial"/>
          <w:lang w:eastAsia="hr-HR"/>
        </w:rPr>
        <w:t>2</w:t>
      </w:r>
      <w:r w:rsidRPr="00D3618E">
        <w:rPr>
          <w:rFonts w:ascii="Arial" w:eastAsia="Times New Roman" w:hAnsi="Arial" w:cs="Arial"/>
          <w:lang w:eastAsia="hr-HR"/>
        </w:rPr>
        <w:t>-01/0</w:t>
      </w:r>
      <w:r w:rsidR="00D3618E">
        <w:rPr>
          <w:rFonts w:ascii="Arial" w:eastAsia="Times New Roman" w:hAnsi="Arial" w:cs="Arial"/>
          <w:lang w:eastAsia="hr-HR"/>
        </w:rPr>
        <w:t>2</w:t>
      </w:r>
    </w:p>
    <w:p w14:paraId="6624545D" w14:textId="79271151" w:rsidR="00A1521B" w:rsidRPr="00D3618E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D3618E">
        <w:rPr>
          <w:rFonts w:ascii="Arial" w:eastAsia="Times New Roman" w:hAnsi="Arial" w:cs="Arial"/>
          <w:lang w:eastAsia="hr-HR"/>
        </w:rPr>
        <w:t>URBROJ: 2176</w:t>
      </w:r>
      <w:r w:rsidR="00D3618E">
        <w:rPr>
          <w:rFonts w:ascii="Arial" w:eastAsia="Times New Roman" w:hAnsi="Arial" w:cs="Arial"/>
          <w:lang w:eastAsia="hr-HR"/>
        </w:rPr>
        <w:t>-</w:t>
      </w:r>
      <w:r w:rsidRPr="00D3618E">
        <w:rPr>
          <w:rFonts w:ascii="Arial" w:eastAsia="Times New Roman" w:hAnsi="Arial" w:cs="Arial"/>
          <w:lang w:eastAsia="hr-HR"/>
        </w:rPr>
        <w:t>13-03-2</w:t>
      </w:r>
      <w:r w:rsidR="00D3618E">
        <w:rPr>
          <w:rFonts w:ascii="Arial" w:eastAsia="Times New Roman" w:hAnsi="Arial" w:cs="Arial"/>
          <w:lang w:eastAsia="hr-HR"/>
        </w:rPr>
        <w:t>2</w:t>
      </w:r>
      <w:r w:rsidRPr="00D3618E">
        <w:rPr>
          <w:rFonts w:ascii="Arial" w:eastAsia="Times New Roman" w:hAnsi="Arial" w:cs="Arial"/>
          <w:lang w:eastAsia="hr-HR"/>
        </w:rPr>
        <w:t>-0</w:t>
      </w:r>
      <w:r w:rsidR="00D3618E">
        <w:rPr>
          <w:rFonts w:ascii="Arial" w:eastAsia="Times New Roman" w:hAnsi="Arial" w:cs="Arial"/>
          <w:lang w:eastAsia="hr-HR"/>
        </w:rPr>
        <w:t>3</w:t>
      </w:r>
    </w:p>
    <w:p w14:paraId="1AC5683A" w14:textId="0FEA4202" w:rsidR="00A1521B" w:rsidRPr="00D3618E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D3618E">
        <w:rPr>
          <w:rFonts w:ascii="Arial" w:eastAsia="Times New Roman" w:hAnsi="Arial" w:cs="Arial"/>
          <w:lang w:eastAsia="hr-HR"/>
        </w:rPr>
        <w:t xml:space="preserve">Lipovljani, </w:t>
      </w:r>
      <w:r w:rsidR="001B335B" w:rsidRPr="001B335B">
        <w:rPr>
          <w:rFonts w:ascii="Arial" w:eastAsia="Times New Roman" w:hAnsi="Arial" w:cs="Arial"/>
          <w:lang w:eastAsia="hr-HR"/>
        </w:rPr>
        <w:t>23</w:t>
      </w:r>
      <w:r w:rsidRPr="001B335B">
        <w:rPr>
          <w:rFonts w:ascii="Arial" w:eastAsia="Times New Roman" w:hAnsi="Arial" w:cs="Arial"/>
          <w:lang w:eastAsia="hr-HR"/>
        </w:rPr>
        <w:t xml:space="preserve">. </w:t>
      </w:r>
      <w:r w:rsidR="001B335B" w:rsidRPr="001B335B">
        <w:rPr>
          <w:rFonts w:ascii="Arial" w:eastAsia="Times New Roman" w:hAnsi="Arial" w:cs="Arial"/>
          <w:lang w:eastAsia="hr-HR"/>
        </w:rPr>
        <w:t>prosinca</w:t>
      </w:r>
      <w:r w:rsidRPr="001B335B">
        <w:rPr>
          <w:rFonts w:ascii="Arial" w:eastAsia="Times New Roman" w:hAnsi="Arial" w:cs="Arial"/>
          <w:lang w:eastAsia="hr-HR"/>
        </w:rPr>
        <w:t xml:space="preserve"> 202</w:t>
      </w:r>
      <w:r w:rsidR="001B335B" w:rsidRPr="001B335B">
        <w:rPr>
          <w:rFonts w:ascii="Arial" w:eastAsia="Times New Roman" w:hAnsi="Arial" w:cs="Arial"/>
          <w:lang w:eastAsia="hr-HR"/>
        </w:rPr>
        <w:t>2</w:t>
      </w:r>
      <w:r w:rsidRPr="001B335B">
        <w:rPr>
          <w:rFonts w:ascii="Arial" w:eastAsia="Times New Roman" w:hAnsi="Arial" w:cs="Arial"/>
          <w:lang w:eastAsia="hr-HR"/>
        </w:rPr>
        <w:t>. godine</w:t>
      </w:r>
    </w:p>
    <w:p w14:paraId="66083446" w14:textId="77777777" w:rsidR="00514FB8" w:rsidRPr="00A1521B" w:rsidRDefault="00514FB8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3C4486" w14:textId="77777777" w:rsidR="00A1521B" w:rsidRPr="00A1521B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OBAVIJESTI I UPUTE</w:t>
      </w:r>
    </w:p>
    <w:p w14:paraId="7D1D9F25" w14:textId="1F6F2322" w:rsidR="00A1521B" w:rsidRPr="00A1521B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prijam u službu </w:t>
      </w:r>
      <w:r w:rsidR="00570E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išeg referenta </w:t>
      </w:r>
      <w:r w:rsidRPr="004C3F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4C3F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administrativnog djelatnika </w:t>
      </w:r>
      <w:r w:rsidR="00D3618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projekte</w:t>
      </w:r>
    </w:p>
    <w:p w14:paraId="0264CBEC" w14:textId="77777777" w:rsidR="00D3618E" w:rsidRDefault="00D3618E" w:rsidP="00BE08CD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46F3FCE" w14:textId="3906C0DF" w:rsidR="00A1521B" w:rsidRPr="004C3F23" w:rsidRDefault="00A1521B" w:rsidP="00BE08CD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4C3F23">
        <w:rPr>
          <w:rFonts w:ascii="Arial" w:hAnsi="Arial" w:cs="Arial"/>
          <w:sz w:val="24"/>
          <w:szCs w:val="24"/>
          <w:lang w:eastAsia="hr-HR"/>
        </w:rPr>
        <w:t xml:space="preserve">Pročelnica Jedinstvenog upravnog odjela Općine Lipovljani, raspisala je </w:t>
      </w:r>
      <w:r w:rsidR="00D3618E">
        <w:rPr>
          <w:rFonts w:ascii="Arial" w:hAnsi="Arial" w:cs="Arial"/>
          <w:sz w:val="24"/>
          <w:szCs w:val="24"/>
          <w:lang w:eastAsia="hr-HR"/>
        </w:rPr>
        <w:t>natječaj</w:t>
      </w:r>
      <w:r w:rsidRPr="004C3F23">
        <w:rPr>
          <w:rFonts w:ascii="Arial" w:hAnsi="Arial" w:cs="Arial"/>
          <w:sz w:val="24"/>
          <w:szCs w:val="24"/>
          <w:lang w:eastAsia="hr-HR"/>
        </w:rPr>
        <w:t xml:space="preserve"> za prijam u službu </w:t>
      </w:r>
      <w:r w:rsidR="00570E40">
        <w:rPr>
          <w:rFonts w:ascii="Arial" w:hAnsi="Arial" w:cs="Arial"/>
          <w:sz w:val="24"/>
          <w:szCs w:val="24"/>
          <w:lang w:eastAsia="hr-HR"/>
        </w:rPr>
        <w:t>V</w:t>
      </w:r>
      <w:r w:rsidRPr="004C3F23">
        <w:rPr>
          <w:rFonts w:ascii="Arial" w:hAnsi="Arial" w:cs="Arial"/>
          <w:sz w:val="24"/>
          <w:szCs w:val="24"/>
          <w:lang w:eastAsia="hr-HR"/>
        </w:rPr>
        <w:t xml:space="preserve">išeg  referenta – administrativnog djelatnika </w:t>
      </w:r>
      <w:r w:rsidR="00D3618E">
        <w:rPr>
          <w:rFonts w:ascii="Arial" w:hAnsi="Arial" w:cs="Arial"/>
          <w:sz w:val="24"/>
          <w:szCs w:val="24"/>
          <w:lang w:eastAsia="hr-HR"/>
        </w:rPr>
        <w:t>za projekte</w:t>
      </w:r>
      <w:r w:rsidRPr="004C3F23">
        <w:rPr>
          <w:rFonts w:ascii="Arial" w:hAnsi="Arial" w:cs="Arial"/>
          <w:sz w:val="24"/>
          <w:szCs w:val="24"/>
          <w:lang w:eastAsia="hr-HR"/>
        </w:rPr>
        <w:t xml:space="preserve"> - na </w:t>
      </w:r>
      <w:r w:rsidR="00D3618E">
        <w:rPr>
          <w:rFonts w:ascii="Arial" w:hAnsi="Arial" w:cs="Arial"/>
          <w:sz w:val="24"/>
          <w:szCs w:val="24"/>
          <w:lang w:eastAsia="hr-HR"/>
        </w:rPr>
        <w:t>ne</w:t>
      </w:r>
      <w:r w:rsidRPr="004C3F23">
        <w:rPr>
          <w:rFonts w:ascii="Arial" w:hAnsi="Arial" w:cs="Arial"/>
          <w:sz w:val="24"/>
          <w:szCs w:val="24"/>
          <w:lang w:eastAsia="hr-HR"/>
        </w:rPr>
        <w:t>određeno vrijeme</w:t>
      </w:r>
      <w:r w:rsidR="00D3618E">
        <w:rPr>
          <w:rFonts w:ascii="Arial" w:hAnsi="Arial" w:cs="Arial"/>
          <w:sz w:val="24"/>
          <w:szCs w:val="24"/>
          <w:lang w:eastAsia="hr-HR"/>
        </w:rPr>
        <w:t>, koji je objavljen u Narodnim novinama broj</w:t>
      </w:r>
      <w:r w:rsidR="00570E40">
        <w:rPr>
          <w:rFonts w:ascii="Arial" w:hAnsi="Arial" w:cs="Arial"/>
          <w:sz w:val="24"/>
          <w:szCs w:val="24"/>
          <w:lang w:eastAsia="hr-HR"/>
        </w:rPr>
        <w:t xml:space="preserve"> 152/2022</w:t>
      </w:r>
      <w:r w:rsidR="00D3618E">
        <w:rPr>
          <w:rFonts w:ascii="Arial" w:hAnsi="Arial" w:cs="Arial"/>
          <w:sz w:val="24"/>
          <w:szCs w:val="24"/>
          <w:lang w:eastAsia="hr-HR"/>
        </w:rPr>
        <w:t xml:space="preserve"> dana</w:t>
      </w:r>
      <w:r w:rsidR="001B335B">
        <w:rPr>
          <w:rFonts w:ascii="Arial" w:hAnsi="Arial" w:cs="Arial"/>
          <w:sz w:val="24"/>
          <w:szCs w:val="24"/>
          <w:lang w:eastAsia="hr-HR"/>
        </w:rPr>
        <w:t xml:space="preserve"> 23.</w:t>
      </w:r>
      <w:r w:rsidR="00D3618E">
        <w:rPr>
          <w:rFonts w:ascii="Arial" w:hAnsi="Arial" w:cs="Arial"/>
          <w:sz w:val="24"/>
          <w:szCs w:val="24"/>
          <w:lang w:eastAsia="hr-HR"/>
        </w:rPr>
        <w:t xml:space="preserve">           prosinca 2022. godine i na mrežnim stranicama Općine Lipovljani.</w:t>
      </w:r>
    </w:p>
    <w:p w14:paraId="37D02511" w14:textId="77777777" w:rsidR="00D3618E" w:rsidRPr="00380E73" w:rsidRDefault="00D3618E" w:rsidP="00D3618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. stavka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. Zakona o službenicima i namještenicima u lokalnoj i područnoj (regionalnoj) samoupravi („Narodne novine“ broj: 86/08, 61/11, 4/18 i 112/19) i raspisanog  natječaja Povjerenstvo za provođenje postupka natječaja za prijam u službu referenta komunalnog redara, upućuje kandidatima prijavljenima na natječaj                                                                                                    </w:t>
      </w:r>
    </w:p>
    <w:p w14:paraId="09F11706" w14:textId="10665961" w:rsidR="00A1521B" w:rsidRPr="008A1183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OBAVIJESTI I UPUTE</w:t>
      </w:r>
    </w:p>
    <w:p w14:paraId="010CEE84" w14:textId="77777777" w:rsidR="00A1521B" w:rsidRPr="008A1183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(prethodna provjera znanja i sposobnosti - provođenje pismenog testiranja i usmenog intervjua)</w:t>
      </w:r>
    </w:p>
    <w:p w14:paraId="6826ED4E" w14:textId="3135F617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Opis poslova:</w:t>
      </w:r>
    </w:p>
    <w:p w14:paraId="5150E743" w14:textId="49097597" w:rsidR="00C30406" w:rsidRPr="008A1183" w:rsidRDefault="00C30406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Hlk122505747"/>
      <w:r w:rsidRPr="008A1183">
        <w:rPr>
          <w:rFonts w:ascii="Arial" w:eastAsia="Times New Roman" w:hAnsi="Arial" w:cs="Arial"/>
          <w:sz w:val="24"/>
          <w:szCs w:val="24"/>
          <w:lang w:eastAsia="hr-HR"/>
        </w:rPr>
        <w:t>Planira i provodi projektne aktivnosti, prati realizaciju proračuna projekta, obavlja administrativne poslove projekta, provodi kontrole na terenu, informira javnost o projektnim aktivnostima, organizira projektne sastanke, pruža voditelju projekta administrativnu pomoć u izvršenju radnih zadataka, podnosi izvještaje voditelju projekta, obavlja i druge poslove po nalogu voditelja projekta, obavlja i druge poslove po nalogu pročelnika.</w:t>
      </w:r>
    </w:p>
    <w:bookmarkEnd w:id="0"/>
    <w:p w14:paraId="72979DB7" w14:textId="77777777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Podaci o plaći:</w:t>
      </w:r>
    </w:p>
    <w:p w14:paraId="3D8A73CF" w14:textId="4C03AB8A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Podaci o plaći radnog mjesta propisani su Odlukom o koeficijentima za obračun plaća službenika i namještenika u </w:t>
      </w:r>
      <w:r w:rsidR="00C30406" w:rsidRPr="008A1183">
        <w:rPr>
          <w:rFonts w:ascii="Arial" w:eastAsia="Times New Roman" w:hAnsi="Arial" w:cs="Arial"/>
          <w:sz w:val="24"/>
          <w:szCs w:val="24"/>
          <w:lang w:eastAsia="hr-HR"/>
        </w:rPr>
        <w:t>Jedinstvenom upravnom odjelu Općine Lipovljani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(Službeni vjesnik, broj: </w:t>
      </w:r>
      <w:r w:rsidR="00381B44" w:rsidRPr="003B6C6F">
        <w:rPr>
          <w:rFonts w:ascii="Arial" w:eastAsia="Times New Roman" w:hAnsi="Arial" w:cs="Arial"/>
          <w:sz w:val="24"/>
          <w:szCs w:val="24"/>
          <w:lang w:eastAsia="hr-HR"/>
        </w:rPr>
        <w:t>5/20, 36/21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3D28FD">
        <w:rPr>
          <w:rFonts w:ascii="Arial" w:eastAsia="Times New Roman" w:hAnsi="Arial" w:cs="Arial"/>
          <w:sz w:val="24"/>
          <w:szCs w:val="24"/>
          <w:lang w:eastAsia="hr-HR"/>
        </w:rPr>
        <w:t xml:space="preserve"> i Odlukom </w:t>
      </w:r>
      <w:r w:rsidR="003D28FD" w:rsidRPr="003D28FD">
        <w:rPr>
          <w:rFonts w:ascii="Arial" w:eastAsia="Times New Roman" w:hAnsi="Arial" w:cs="Arial"/>
          <w:sz w:val="24"/>
          <w:szCs w:val="24"/>
          <w:lang w:eastAsia="hr-HR"/>
        </w:rPr>
        <w:t>o izmjenama i dopunama Odluke o određivanju koeficijenata za obračun plaće službenika i namještenika u Jedinstvenom upravnom odjelu Općine Lipovljani</w:t>
      </w:r>
      <w:r w:rsidR="003D28FD">
        <w:rPr>
          <w:rFonts w:ascii="Arial" w:eastAsia="Times New Roman" w:hAnsi="Arial" w:cs="Arial"/>
          <w:sz w:val="24"/>
          <w:szCs w:val="24"/>
          <w:lang w:eastAsia="hr-HR"/>
        </w:rPr>
        <w:t>, KLASA:</w:t>
      </w:r>
      <w:r w:rsidR="003D28FD" w:rsidRPr="003D28FD">
        <w:t xml:space="preserve"> </w:t>
      </w:r>
      <w:r w:rsidR="003D28FD" w:rsidRPr="003D28FD">
        <w:rPr>
          <w:rFonts w:ascii="Arial" w:eastAsia="Times New Roman" w:hAnsi="Arial" w:cs="Arial"/>
          <w:sz w:val="24"/>
          <w:szCs w:val="24"/>
          <w:lang w:eastAsia="hr-HR"/>
        </w:rPr>
        <w:t>120-01/22-01/02</w:t>
      </w:r>
      <w:r w:rsidR="003D28FD">
        <w:rPr>
          <w:rFonts w:ascii="Arial" w:eastAsia="Times New Roman" w:hAnsi="Arial" w:cs="Arial"/>
          <w:sz w:val="24"/>
          <w:szCs w:val="24"/>
          <w:lang w:eastAsia="hr-HR"/>
        </w:rPr>
        <w:t xml:space="preserve">, URBROJ: </w:t>
      </w:r>
      <w:r w:rsidR="003D28FD" w:rsidRPr="003D28FD">
        <w:rPr>
          <w:rFonts w:ascii="Arial" w:eastAsia="Times New Roman" w:hAnsi="Arial" w:cs="Arial"/>
          <w:sz w:val="24"/>
          <w:szCs w:val="24"/>
          <w:lang w:eastAsia="hr-HR"/>
        </w:rPr>
        <w:t>2176-13-01-22-01</w:t>
      </w:r>
      <w:r w:rsidR="003D28FD">
        <w:rPr>
          <w:rFonts w:ascii="Arial" w:eastAsia="Times New Roman" w:hAnsi="Arial" w:cs="Arial"/>
          <w:sz w:val="24"/>
          <w:szCs w:val="24"/>
          <w:lang w:eastAsia="hr-HR"/>
        </w:rPr>
        <w:t xml:space="preserve"> od 14. prosinca 2022. godine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. Slijedom toga plaća radnog mjesta, za koje se raspisuje oglas, čini umnožak koeficijenta složenosti poslova radnog mjesta </w:t>
      </w:r>
      <w:r w:rsidR="00C30406" w:rsidRPr="008A1183">
        <w:rPr>
          <w:rFonts w:ascii="Arial" w:eastAsia="Times New Roman" w:hAnsi="Arial" w:cs="Arial"/>
          <w:sz w:val="24"/>
          <w:szCs w:val="24"/>
          <w:lang w:eastAsia="hr-HR"/>
        </w:rPr>
        <w:t>2,00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osnovice za izračun plaće (</w:t>
      </w:r>
      <w:r w:rsidR="003D28FD" w:rsidRPr="003D28FD">
        <w:rPr>
          <w:rFonts w:ascii="Arial" w:eastAsia="Times New Roman" w:hAnsi="Arial" w:cs="Arial"/>
          <w:sz w:val="24"/>
          <w:szCs w:val="24"/>
          <w:lang w:eastAsia="hr-HR"/>
        </w:rPr>
        <w:t>4.687,50 kn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>, bruto iznos), uvećan za 0,5% za svaku navršenu godinu radnog staža.</w:t>
      </w:r>
    </w:p>
    <w:p w14:paraId="0389AFA2" w14:textId="77777777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Pravni i drugi izvori za pripremanje kandidata za pismeno testiranje:</w:t>
      </w:r>
    </w:p>
    <w:p w14:paraId="54238EC0" w14:textId="77777777" w:rsidR="00A1521B" w:rsidRPr="008A1183" w:rsidRDefault="00A1521B" w:rsidP="00A1521B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Ustav Republike Hrvatske (''Narodne novine'', br. 56/90, 135/97, 8/98,  113/00, 124/00, 28/01, 41/01, 55/01, 76/10, 85/10- pročišćeni tekst, 05/14),</w:t>
      </w:r>
    </w:p>
    <w:p w14:paraId="69FB63BF" w14:textId="36916B64" w:rsidR="00A1521B" w:rsidRPr="002740E7" w:rsidRDefault="00A1521B" w:rsidP="002740E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Zakon o  lokalnoj i područnoj (regionalnoj) samoupravi („Narodne novine«, broj: 33/01, 60/01, vjerodostojno tumačenje 129/05, 109/07, 125/08, 36/09, 150/11, 144/12, 19/13 i 137/15 123/17, 98/19, 144/20),</w:t>
      </w:r>
    </w:p>
    <w:p w14:paraId="75530ED0" w14:textId="77777777" w:rsidR="004C3F23" w:rsidRPr="002740E7" w:rsidRDefault="00A1521B" w:rsidP="00A1521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740E7">
        <w:rPr>
          <w:rFonts w:ascii="Arial" w:eastAsia="Times New Roman" w:hAnsi="Arial" w:cs="Arial"/>
          <w:sz w:val="24"/>
          <w:szCs w:val="24"/>
          <w:lang w:eastAsia="hr-HR"/>
        </w:rPr>
        <w:t xml:space="preserve">Opći uvjeti Ugovora o dodjeli bespovratnih sredstava za projekte koji se financiraju iz Europskog socijalnog fonda u financijskom razdoblju 2014.-2020. godina. </w:t>
      </w:r>
      <w:r w:rsidR="004C3F23" w:rsidRPr="002740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6C2E9217" w14:textId="1C4428FD" w:rsidR="00A1521B" w:rsidRPr="002740E7" w:rsidRDefault="00000000" w:rsidP="004C3F23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hyperlink r:id="rId5" w:history="1">
        <w:r w:rsidR="004C3F23" w:rsidRPr="002740E7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http://www.esf.hr/wordpress/wp-content/uploads/2020/05/Prilog-2_Opci-uvjeti-ugovora.pdf</w:t>
        </w:r>
      </w:hyperlink>
    </w:p>
    <w:p w14:paraId="55A6FBBE" w14:textId="77777777" w:rsidR="004C3F23" w:rsidRPr="002740E7" w:rsidRDefault="004C3F23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E791A4" w14:textId="77777777" w:rsidR="004C3F23" w:rsidRPr="002740E7" w:rsidRDefault="00A1521B" w:rsidP="00A1521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740E7">
        <w:rPr>
          <w:rFonts w:ascii="Arial" w:eastAsia="Times New Roman" w:hAnsi="Arial" w:cs="Arial"/>
          <w:sz w:val="24"/>
          <w:szCs w:val="24"/>
          <w:lang w:eastAsia="hr-HR"/>
        </w:rPr>
        <w:t>Uputa o prihvatljivosti troškova plaća i troškova povezane s radom u okviru Europskog socijalnog fonda u Republici Hrvatskoj (2014.-2020.</w:t>
      </w:r>
      <w:r w:rsidR="004C3F23" w:rsidRPr="002740E7">
        <w:rPr>
          <w:rFonts w:ascii="Arial" w:eastAsia="Times New Roman" w:hAnsi="Arial" w:cs="Arial"/>
          <w:sz w:val="24"/>
          <w:szCs w:val="24"/>
          <w:lang w:eastAsia="hr-HR"/>
        </w:rPr>
        <w:t xml:space="preserve">)  </w:t>
      </w:r>
    </w:p>
    <w:p w14:paraId="51A77849" w14:textId="479F12BA" w:rsidR="00A1521B" w:rsidRPr="008A1183" w:rsidRDefault="00000000" w:rsidP="004C3F23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hyperlink r:id="rId6" w:history="1">
        <w:r w:rsidR="004C3F23" w:rsidRPr="002740E7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http://www.esf.hr/wordpress/wp-content/uploads/2020/02/Uputa-o-prihvatljivosti-tros%CC%8Ckova-plac%CC%81a-i-povezanih-tros%CC%8Ckova-v.1.4.-velja%C4%8Da-2020..pdf</w:t>
        </w:r>
      </w:hyperlink>
    </w:p>
    <w:p w14:paraId="46BED678" w14:textId="77777777" w:rsidR="004C3F23" w:rsidRPr="008A1183" w:rsidRDefault="004C3F23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BE7325" w14:textId="73EB8209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PRAVILA TESTIRANJA</w:t>
      </w:r>
    </w:p>
    <w:p w14:paraId="45541820" w14:textId="77777777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Prethodna provjera znanja i sposobnosti obuhvaća pismeno testiranje i intervju. Prethodnoj provjeri znanja i sposobnosti mogu pristupiti samo kandidati koji ispunjavaju formalne uvjete oglasa.</w:t>
      </w:r>
    </w:p>
    <w:p w14:paraId="462E5A9E" w14:textId="77777777" w:rsidR="00A1521B" w:rsidRPr="008A1183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Vrijeme trajanja testiranja - 60 minuta</w:t>
      </w:r>
    </w:p>
    <w:p w14:paraId="7B5734D0" w14:textId="77777777" w:rsidR="00A1521B" w:rsidRPr="008A1183" w:rsidRDefault="00A1521B" w:rsidP="00A1521B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Po dolasku na testiranje od kandidata će biti zatražena odgovarajuća identifikacijska isprava radi utvrđivanja identiteta.</w:t>
      </w:r>
    </w:p>
    <w:p w14:paraId="5B921276" w14:textId="77777777" w:rsidR="00A1521B" w:rsidRPr="008A1183" w:rsidRDefault="00A1521B" w:rsidP="00A1521B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Za kandidata koji ne pristupi testiranju smatrat će se da je povukao prijavu na oglas.</w:t>
      </w:r>
    </w:p>
    <w:p w14:paraId="0DDB1F4C" w14:textId="7694F5CC" w:rsidR="00A1521B" w:rsidRPr="008A1183" w:rsidRDefault="00A1521B" w:rsidP="00A1521B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Za vrijeme pismene provjere znanja i sposobnosti nije dopušteno: korištenje literature, bilježaka, mobitela, napušta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nje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prostorij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u kojoj se odvija provjera, razgovar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anje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ili na drugi način ometa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nja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ostal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ih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kandidat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>. Nakon uvodnih radnji, započinje testiranje na način da će kandidatima biti podijeljena pitanja za provjeru znanja iz  poznavanja ustavnog ustrojstva Republike Hrvatske (Ustav RH) i pitanja za provjeru posebnih znanja i sposobnosti za obavljane poslova radnog mjesta za koje se kandidat prijavio. </w:t>
      </w:r>
    </w:p>
    <w:p w14:paraId="2A4C65B3" w14:textId="77777777" w:rsidR="00A1521B" w:rsidRPr="008A1183" w:rsidRDefault="00A1521B" w:rsidP="00A1521B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Za pismenu provjeru posebnih  znanja i sposobnosti za obavljanje poslova radnih mjesta kandidatima se dodjeljuje od 1 do 10 bodova. Ukupan broj bodova koji kandidat može ostvariti nakon pismene provjere znanja je 10 bodova.</w:t>
      </w:r>
    </w:p>
    <w:p w14:paraId="4FE65B9E" w14:textId="4BA692A3" w:rsidR="00A1521B" w:rsidRPr="008A1183" w:rsidRDefault="00A1521B" w:rsidP="00A1521B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Smatra se da je kandidat položio ako je u pismenoj provjeri znanja i sposobnosti postigao najmanje 50% ukupnog broja bodova.</w:t>
      </w:r>
    </w:p>
    <w:p w14:paraId="5355A333" w14:textId="77777777" w:rsidR="00A1521B" w:rsidRPr="008A1183" w:rsidRDefault="00A1521B" w:rsidP="00A1521B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Kandidati koji su zadovoljili uvjete iz točke 5. mogu pristupiti razgovoru (intervjuu).</w:t>
      </w:r>
    </w:p>
    <w:p w14:paraId="1762BD76" w14:textId="1437F547" w:rsidR="00A1521B" w:rsidRPr="008A1183" w:rsidRDefault="00A1521B" w:rsidP="00A1521B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Po okončanom testiranju Povjerenstvo za provedbu javnog natječaja sastavlja rang listu kandidata prema ostvarenom broju bodova koji su 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 xml:space="preserve">kandidati 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>ostvarili na pismenom testiranju.</w:t>
      </w:r>
    </w:p>
    <w:p w14:paraId="420B1ADA" w14:textId="41C96216" w:rsidR="00A1521B" w:rsidRPr="008A1183" w:rsidRDefault="00A1521B" w:rsidP="00A1521B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Nakon utvrđivanja broja bodova na prethodno provedenoj pismenoj provjeri znanja i sposobnosti Povjerenstvo na intervju poziva kandidate koji su ostvarili najmanje 50% od ukupnog broja bodova.</w:t>
      </w:r>
    </w:p>
    <w:p w14:paraId="3F1205DF" w14:textId="77777777" w:rsidR="00A1521B" w:rsidRPr="008A1183" w:rsidRDefault="00A1521B" w:rsidP="00A1521B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Povjerenstvo kroz razgovor - intervju s kandidatima utvrđuje interese, profesionalne ciljeve i motivaciju kandidata za rad u lokalnoj i područnoj (regionalnoj) samoupravi. Rezultati intervjua boduju se od 1 do 10 bodova.</w:t>
      </w:r>
    </w:p>
    <w:p w14:paraId="31780C56" w14:textId="77777777" w:rsidR="00A1521B" w:rsidRPr="008A1183" w:rsidRDefault="00A1521B" w:rsidP="00A1521B">
      <w:pPr>
        <w:numPr>
          <w:ilvl w:val="0"/>
          <w:numId w:val="10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Nakon provedenog postupka, Povjerenstvo utvrđuje rang listu kandidata prema ukupnom broju ostvarenih bodova.</w:t>
      </w:r>
    </w:p>
    <w:p w14:paraId="657E0E4A" w14:textId="77777777" w:rsidR="00A1521B" w:rsidRPr="008A1183" w:rsidRDefault="00A1521B" w:rsidP="00A1521B">
      <w:pPr>
        <w:numPr>
          <w:ilvl w:val="0"/>
          <w:numId w:val="11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Povjerenstvo dostavlja pročelniku rang listu kandidata i izvješće o provedenom postupku koje potpisuju svi članovi Povjerenstva.</w:t>
      </w:r>
    </w:p>
    <w:p w14:paraId="2FF71EED" w14:textId="77777777" w:rsidR="00A1521B" w:rsidRPr="008A1183" w:rsidRDefault="00A1521B" w:rsidP="00A1521B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Kandidati koji su pristupili testiranju imaju pravo uvida u rezultate provedenog postupka.</w:t>
      </w:r>
    </w:p>
    <w:p w14:paraId="366A2F1C" w14:textId="18FDE783" w:rsidR="00A1521B" w:rsidRPr="008A1183" w:rsidRDefault="00A1521B" w:rsidP="00A1521B">
      <w:pPr>
        <w:numPr>
          <w:ilvl w:val="0"/>
          <w:numId w:val="13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Izabrani kandidat, po pisanoj obavijesti o izboru, dostavlja uvjerenje o zdravstvenoj sposobnosti za obavljanje poslova radnog mjesta, a prije donošenje rješenja o prijmu u službu.</w:t>
      </w:r>
    </w:p>
    <w:p w14:paraId="47BF9235" w14:textId="36B982E0" w:rsidR="004C3F23" w:rsidRPr="008A1183" w:rsidRDefault="00A1521B" w:rsidP="00A1521B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Pročelnik donosi rješenje o prijmu u službu Višeg referenta </w:t>
      </w:r>
      <w:r w:rsidR="00D779D0" w:rsidRPr="008A1183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779D0"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administrativnog djelatnika </w:t>
      </w:r>
      <w:r w:rsidR="00C5796F">
        <w:rPr>
          <w:rFonts w:ascii="Arial" w:eastAsia="Times New Roman" w:hAnsi="Arial" w:cs="Arial"/>
          <w:sz w:val="24"/>
          <w:szCs w:val="24"/>
          <w:lang w:eastAsia="hr-HR"/>
        </w:rPr>
        <w:t>za projekte,</w:t>
      </w:r>
      <w:r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koje se dostavlja svim kandidatima koji su se prijavili na oglas.</w:t>
      </w:r>
    </w:p>
    <w:p w14:paraId="3CB12BD6" w14:textId="77777777" w:rsidR="004C3F23" w:rsidRPr="008A1183" w:rsidRDefault="004C3F23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5E2D32" w14:textId="77777777" w:rsidR="00C5796F" w:rsidRDefault="00C5796F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9E03D0" w14:textId="38D67DCF" w:rsidR="00A1521B" w:rsidRPr="008A1183" w:rsidRDefault="00C5796F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Poziv za testiranje</w:t>
      </w:r>
      <w:r w:rsidR="00A1521B"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bit će objavljen najmanje 5 dana prije dana određenog za testiranj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A1521B"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 n</w:t>
      </w:r>
      <w:r w:rsidR="00D779D0" w:rsidRPr="008A1183">
        <w:rPr>
          <w:rFonts w:ascii="Arial" w:eastAsia="Times New Roman" w:hAnsi="Arial" w:cs="Arial"/>
          <w:sz w:val="24"/>
          <w:szCs w:val="24"/>
          <w:lang w:eastAsia="hr-HR"/>
        </w:rPr>
        <w:t>a web stranici Općine Lipovljani</w:t>
      </w:r>
      <w:r w:rsidR="00A1521B" w:rsidRPr="008A1183">
        <w:rPr>
          <w:rFonts w:ascii="Arial" w:eastAsia="Times New Roman" w:hAnsi="Arial" w:cs="Arial"/>
          <w:sz w:val="24"/>
          <w:szCs w:val="24"/>
          <w:lang w:eastAsia="hr-HR"/>
        </w:rPr>
        <w:t xml:space="preserve"> i oglasnoj ploči </w:t>
      </w:r>
      <w:r w:rsidR="00D779D0" w:rsidRPr="008A1183">
        <w:rPr>
          <w:rFonts w:ascii="Arial" w:eastAsia="Times New Roman" w:hAnsi="Arial" w:cs="Arial"/>
          <w:sz w:val="24"/>
          <w:szCs w:val="24"/>
          <w:lang w:eastAsia="hr-HR"/>
        </w:rPr>
        <w:t>Općine Lipovljani</w:t>
      </w:r>
      <w:r w:rsidR="00A1521B" w:rsidRPr="008A1183">
        <w:rPr>
          <w:rFonts w:ascii="Arial" w:eastAsia="Times New Roman" w:hAnsi="Arial" w:cs="Arial"/>
          <w:sz w:val="24"/>
          <w:szCs w:val="24"/>
          <w:lang w:eastAsia="hr-HR"/>
        </w:rPr>
        <w:t>.  </w:t>
      </w:r>
    </w:p>
    <w:p w14:paraId="10EDFBDF" w14:textId="4E5486C7" w:rsidR="00B048DF" w:rsidRPr="008A1183" w:rsidRDefault="00A1521B" w:rsidP="004C3F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A1183">
        <w:rPr>
          <w:rFonts w:ascii="Arial" w:eastAsia="Times New Roman" w:hAnsi="Arial" w:cs="Arial"/>
          <w:sz w:val="24"/>
          <w:szCs w:val="24"/>
          <w:lang w:eastAsia="hr-HR"/>
        </w:rPr>
        <w:t>           </w:t>
      </w:r>
    </w:p>
    <w:sectPr w:rsidR="00B048DF" w:rsidRPr="008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C4C"/>
    <w:multiLevelType w:val="multilevel"/>
    <w:tmpl w:val="EE7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F7FF5"/>
    <w:multiLevelType w:val="multilevel"/>
    <w:tmpl w:val="6BF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7412F"/>
    <w:multiLevelType w:val="multilevel"/>
    <w:tmpl w:val="C72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693082">
    <w:abstractNumId w:val="1"/>
  </w:num>
  <w:num w:numId="2" w16cid:durableId="186334100">
    <w:abstractNumId w:val="2"/>
  </w:num>
  <w:num w:numId="3" w16cid:durableId="985552531">
    <w:abstractNumId w:val="0"/>
  </w:num>
  <w:num w:numId="4" w16cid:durableId="1316642726">
    <w:abstractNumId w:val="0"/>
    <w:lvlOverride w:ilvl="0">
      <w:startOverride w:val="4"/>
    </w:lvlOverride>
  </w:num>
  <w:num w:numId="5" w16cid:durableId="2083679735">
    <w:abstractNumId w:val="0"/>
    <w:lvlOverride w:ilvl="0">
      <w:startOverride w:val="5"/>
    </w:lvlOverride>
  </w:num>
  <w:num w:numId="6" w16cid:durableId="1110276949">
    <w:abstractNumId w:val="0"/>
    <w:lvlOverride w:ilvl="0">
      <w:startOverride w:val="6"/>
    </w:lvlOverride>
  </w:num>
  <w:num w:numId="7" w16cid:durableId="105272491">
    <w:abstractNumId w:val="0"/>
    <w:lvlOverride w:ilvl="0">
      <w:startOverride w:val="7"/>
    </w:lvlOverride>
  </w:num>
  <w:num w:numId="8" w16cid:durableId="710034033">
    <w:abstractNumId w:val="0"/>
    <w:lvlOverride w:ilvl="0">
      <w:startOverride w:val="8"/>
    </w:lvlOverride>
  </w:num>
  <w:num w:numId="9" w16cid:durableId="1557468211">
    <w:abstractNumId w:val="0"/>
    <w:lvlOverride w:ilvl="0">
      <w:startOverride w:val="9"/>
    </w:lvlOverride>
  </w:num>
  <w:num w:numId="10" w16cid:durableId="1501308854">
    <w:abstractNumId w:val="0"/>
    <w:lvlOverride w:ilvl="0">
      <w:startOverride w:val="10"/>
    </w:lvlOverride>
  </w:num>
  <w:num w:numId="11" w16cid:durableId="609515139">
    <w:abstractNumId w:val="0"/>
    <w:lvlOverride w:ilvl="0">
      <w:startOverride w:val="11"/>
    </w:lvlOverride>
  </w:num>
  <w:num w:numId="12" w16cid:durableId="1613198685">
    <w:abstractNumId w:val="0"/>
    <w:lvlOverride w:ilvl="0">
      <w:startOverride w:val="12"/>
    </w:lvlOverride>
  </w:num>
  <w:num w:numId="13" w16cid:durableId="515536031">
    <w:abstractNumId w:val="0"/>
    <w:lvlOverride w:ilvl="0">
      <w:startOverride w:val="13"/>
    </w:lvlOverride>
  </w:num>
  <w:num w:numId="14" w16cid:durableId="154346560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B"/>
    <w:rsid w:val="001B335B"/>
    <w:rsid w:val="002740E7"/>
    <w:rsid w:val="00381B44"/>
    <w:rsid w:val="003D28FD"/>
    <w:rsid w:val="004C3F23"/>
    <w:rsid w:val="00514FB8"/>
    <w:rsid w:val="00570E40"/>
    <w:rsid w:val="008A1183"/>
    <w:rsid w:val="00A1521B"/>
    <w:rsid w:val="00B048DF"/>
    <w:rsid w:val="00BE08CD"/>
    <w:rsid w:val="00C30406"/>
    <w:rsid w:val="00C5796F"/>
    <w:rsid w:val="00D1564C"/>
    <w:rsid w:val="00D3618E"/>
    <w:rsid w:val="00D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3B8"/>
  <w15:chartTrackingRefBased/>
  <w15:docId w15:val="{571B6D53-348D-4DA3-A33C-3A0CEE99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3F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.hr/wordpress/wp-content/uploads/2020/02/Uputa-o-prihvatljivosti-tros%CC%8Ckova-plac%CC%81a-i-povezanih-tros%CC%8Ckova-v.1.4.-velja%C4%8Da-2020..pdf" TargetMode="External"/><Relationship Id="rId5" Type="http://schemas.openxmlformats.org/officeDocument/2006/relationships/hyperlink" Target="http://www.esf.hr/wordpress/wp-content/uploads/2020/05/Prilog-2_Opci-uvjeti-ugovo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OBAVIJESTI I UPUTE za prijam u službu višeg referenta – administrativni djelatni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7</cp:revision>
  <dcterms:created xsi:type="dcterms:W3CDTF">2022-12-21T08:55:00Z</dcterms:created>
  <dcterms:modified xsi:type="dcterms:W3CDTF">2022-12-23T10:51:00Z</dcterms:modified>
</cp:coreProperties>
</file>