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8D0AC" w14:textId="77777777" w:rsidR="00D938E7" w:rsidRDefault="00D938E7" w:rsidP="00E149E9">
      <w:pPr>
        <w:autoSpaceDE w:val="0"/>
        <w:autoSpaceDN w:val="0"/>
        <w:adjustRightInd w:val="0"/>
        <w:spacing w:after="0" w:line="276" w:lineRule="auto"/>
        <w:jc w:val="center"/>
        <w:rPr>
          <w:rFonts w:ascii="Calibri" w:hAnsi="Calibri" w:cs="Calibri"/>
          <w:i/>
          <w:iCs/>
          <w:sz w:val="20"/>
          <w:szCs w:val="20"/>
        </w:rPr>
      </w:pPr>
    </w:p>
    <w:p w14:paraId="1C049151" w14:textId="1D8157BA" w:rsidR="006B5451" w:rsidRPr="007340F6" w:rsidRDefault="006B5451" w:rsidP="006B5451">
      <w:pPr>
        <w:autoSpaceDE w:val="0"/>
        <w:autoSpaceDN w:val="0"/>
        <w:adjustRightInd w:val="0"/>
        <w:spacing w:after="0" w:line="276" w:lineRule="auto"/>
        <w:rPr>
          <w:rFonts w:cstheme="minorHAnsi"/>
          <w:sz w:val="20"/>
          <w:szCs w:val="20"/>
        </w:rPr>
      </w:pPr>
      <w:r w:rsidRPr="0006679E">
        <w:rPr>
          <w:rFonts w:cstheme="minorHAnsi"/>
          <w:b/>
          <w:bCs/>
          <w:sz w:val="20"/>
          <w:szCs w:val="20"/>
        </w:rPr>
        <w:t>NAZIV PROJEKTA:</w:t>
      </w:r>
      <w:r w:rsidRPr="007340F6">
        <w:rPr>
          <w:rFonts w:cstheme="minorHAnsi"/>
          <w:sz w:val="20"/>
          <w:szCs w:val="20"/>
        </w:rPr>
        <w:t xml:space="preserve"> </w:t>
      </w:r>
      <w:r w:rsidR="005865AF">
        <w:rPr>
          <w:rFonts w:cstheme="minorHAnsi"/>
          <w:sz w:val="20"/>
          <w:szCs w:val="20"/>
        </w:rPr>
        <w:t>Povećanjem energetske učinkovitosti do rasta konkurentnosti društva</w:t>
      </w:r>
      <w:r w:rsidRPr="007340F6">
        <w:rPr>
          <w:rFonts w:cstheme="minorHAnsi"/>
          <w:sz w:val="20"/>
          <w:szCs w:val="20"/>
        </w:rPr>
        <w:t xml:space="preserve"> </w:t>
      </w:r>
      <w:r w:rsidR="005865AF">
        <w:rPr>
          <w:rFonts w:cstheme="minorHAnsi"/>
          <w:sz w:val="20"/>
          <w:szCs w:val="20"/>
        </w:rPr>
        <w:t>–</w:t>
      </w:r>
      <w:r w:rsidRPr="007340F6">
        <w:rPr>
          <w:rFonts w:cstheme="minorHAnsi"/>
          <w:sz w:val="20"/>
          <w:szCs w:val="20"/>
        </w:rPr>
        <w:t xml:space="preserve"> </w:t>
      </w:r>
      <w:r w:rsidR="005865AF">
        <w:rPr>
          <w:rFonts w:cstheme="minorHAnsi"/>
          <w:sz w:val="20"/>
          <w:szCs w:val="20"/>
        </w:rPr>
        <w:t>LIPOVLJANI LIGNUM</w:t>
      </w:r>
      <w:r w:rsidRPr="007340F6">
        <w:rPr>
          <w:rFonts w:cstheme="minorHAnsi"/>
          <w:sz w:val="20"/>
          <w:szCs w:val="20"/>
        </w:rPr>
        <w:t xml:space="preserve"> d.o.o.</w:t>
      </w:r>
    </w:p>
    <w:p w14:paraId="76479DC0" w14:textId="19EA7DEF" w:rsidR="006B5451" w:rsidRPr="007340F6" w:rsidRDefault="006B5451" w:rsidP="006B5451">
      <w:pPr>
        <w:spacing w:after="0" w:line="276" w:lineRule="auto"/>
        <w:rPr>
          <w:rFonts w:cstheme="minorHAnsi"/>
          <w:sz w:val="20"/>
          <w:szCs w:val="20"/>
        </w:rPr>
      </w:pPr>
      <w:r w:rsidRPr="0006679E">
        <w:rPr>
          <w:rFonts w:cstheme="minorHAnsi"/>
          <w:b/>
          <w:bCs/>
          <w:sz w:val="20"/>
          <w:szCs w:val="20"/>
        </w:rPr>
        <w:t>NAZIV KORISNIKA:</w:t>
      </w:r>
      <w:r w:rsidRPr="007340F6">
        <w:rPr>
          <w:rFonts w:cstheme="minorHAnsi"/>
          <w:sz w:val="20"/>
          <w:szCs w:val="20"/>
        </w:rPr>
        <w:t xml:space="preserve"> </w:t>
      </w:r>
      <w:r w:rsidR="005865AF">
        <w:rPr>
          <w:rFonts w:cstheme="minorHAnsi"/>
          <w:sz w:val="20"/>
          <w:szCs w:val="20"/>
        </w:rPr>
        <w:t>LIPOVLJANI LIGNUM</w:t>
      </w:r>
      <w:r w:rsidRPr="007340F6">
        <w:rPr>
          <w:rFonts w:cstheme="minorHAnsi"/>
          <w:sz w:val="20"/>
          <w:szCs w:val="20"/>
        </w:rPr>
        <w:t xml:space="preserve"> d.o.o.</w:t>
      </w:r>
    </w:p>
    <w:p w14:paraId="347BB9F9" w14:textId="58AC0E0E" w:rsidR="006B5451" w:rsidRPr="007340F6" w:rsidRDefault="006B5451" w:rsidP="006B5451">
      <w:pPr>
        <w:spacing w:after="0" w:line="276" w:lineRule="auto"/>
        <w:rPr>
          <w:rFonts w:cstheme="minorHAnsi"/>
          <w:sz w:val="20"/>
          <w:szCs w:val="20"/>
        </w:rPr>
      </w:pPr>
      <w:r w:rsidRPr="0006679E">
        <w:rPr>
          <w:rFonts w:cstheme="minorHAnsi"/>
          <w:b/>
          <w:bCs/>
          <w:sz w:val="20"/>
          <w:szCs w:val="20"/>
        </w:rPr>
        <w:t>UKUPNA VRIJEDNOST PROJEKTA:</w:t>
      </w:r>
      <w:r w:rsidRPr="007340F6">
        <w:rPr>
          <w:rFonts w:cstheme="minorHAnsi"/>
          <w:sz w:val="20"/>
          <w:szCs w:val="20"/>
        </w:rPr>
        <w:t xml:space="preserve"> </w:t>
      </w:r>
      <w:r w:rsidR="005865AF">
        <w:rPr>
          <w:rFonts w:cstheme="minorHAnsi"/>
          <w:sz w:val="20"/>
          <w:szCs w:val="20"/>
        </w:rPr>
        <w:t>39.667.413,00</w:t>
      </w:r>
      <w:r w:rsidRPr="007340F6">
        <w:rPr>
          <w:rFonts w:cstheme="minorHAnsi"/>
          <w:sz w:val="20"/>
          <w:szCs w:val="20"/>
        </w:rPr>
        <w:t xml:space="preserve"> KN</w:t>
      </w:r>
    </w:p>
    <w:p w14:paraId="099A5C9A" w14:textId="717C98A7" w:rsidR="006B5451" w:rsidRPr="007340F6" w:rsidRDefault="006B5451" w:rsidP="006B5451">
      <w:pPr>
        <w:spacing w:after="0" w:line="276" w:lineRule="auto"/>
        <w:rPr>
          <w:rFonts w:cstheme="minorHAnsi"/>
          <w:sz w:val="20"/>
          <w:szCs w:val="20"/>
        </w:rPr>
      </w:pPr>
      <w:r w:rsidRPr="0006679E">
        <w:rPr>
          <w:rFonts w:cstheme="minorHAnsi"/>
          <w:b/>
          <w:bCs/>
          <w:sz w:val="20"/>
          <w:szCs w:val="20"/>
        </w:rPr>
        <w:t xml:space="preserve">EU SUFINANCIRANJE PROJEKTA: </w:t>
      </w:r>
      <w:r w:rsidR="005865AF">
        <w:rPr>
          <w:rFonts w:cstheme="minorHAnsi"/>
          <w:sz w:val="20"/>
          <w:szCs w:val="20"/>
        </w:rPr>
        <w:t>19.632.078,55</w:t>
      </w:r>
      <w:r w:rsidRPr="007340F6">
        <w:rPr>
          <w:rFonts w:cstheme="minorHAnsi"/>
          <w:sz w:val="20"/>
          <w:szCs w:val="20"/>
        </w:rPr>
        <w:t xml:space="preserve"> KN</w:t>
      </w:r>
    </w:p>
    <w:p w14:paraId="01DF3CF1" w14:textId="2CE71528" w:rsidR="006B5451" w:rsidRPr="007340F6" w:rsidRDefault="006B5451" w:rsidP="006B5451">
      <w:pPr>
        <w:spacing w:after="0" w:line="276" w:lineRule="auto"/>
        <w:rPr>
          <w:rFonts w:cstheme="minorHAnsi"/>
          <w:sz w:val="20"/>
          <w:szCs w:val="20"/>
        </w:rPr>
      </w:pPr>
      <w:r w:rsidRPr="0006679E">
        <w:rPr>
          <w:rFonts w:cstheme="minorHAnsi"/>
          <w:b/>
          <w:bCs/>
          <w:sz w:val="20"/>
          <w:szCs w:val="20"/>
        </w:rPr>
        <w:t>RAZDOBLJE PROVEDBE PROJEKTA:</w:t>
      </w:r>
      <w:r w:rsidRPr="007340F6">
        <w:rPr>
          <w:rFonts w:cstheme="minorHAnsi"/>
          <w:sz w:val="20"/>
          <w:szCs w:val="20"/>
        </w:rPr>
        <w:t xml:space="preserve"> 01.0</w:t>
      </w:r>
      <w:r w:rsidR="005865AF">
        <w:rPr>
          <w:rFonts w:cstheme="minorHAnsi"/>
          <w:sz w:val="20"/>
          <w:szCs w:val="20"/>
        </w:rPr>
        <w:t>9</w:t>
      </w:r>
      <w:r w:rsidRPr="007340F6">
        <w:rPr>
          <w:rFonts w:cstheme="minorHAnsi"/>
          <w:sz w:val="20"/>
          <w:szCs w:val="20"/>
        </w:rPr>
        <w:t xml:space="preserve">.2020. – </w:t>
      </w:r>
      <w:r w:rsidR="005865AF">
        <w:rPr>
          <w:rFonts w:cstheme="minorHAnsi"/>
          <w:sz w:val="20"/>
          <w:szCs w:val="20"/>
        </w:rPr>
        <w:t>30</w:t>
      </w:r>
      <w:r w:rsidRPr="007340F6">
        <w:rPr>
          <w:rFonts w:cstheme="minorHAnsi"/>
          <w:sz w:val="20"/>
          <w:szCs w:val="20"/>
        </w:rPr>
        <w:t>.06.2023.</w:t>
      </w:r>
    </w:p>
    <w:p w14:paraId="6C31977B" w14:textId="77777777" w:rsidR="006B5451" w:rsidRDefault="006B5451" w:rsidP="006B5451">
      <w:pPr>
        <w:spacing w:after="0" w:line="276" w:lineRule="auto"/>
        <w:rPr>
          <w:rFonts w:cstheme="minorHAnsi"/>
          <w:sz w:val="20"/>
          <w:szCs w:val="20"/>
        </w:rPr>
      </w:pPr>
    </w:p>
    <w:p w14:paraId="458D30CA" w14:textId="120D29FF" w:rsidR="006B5451" w:rsidRPr="00511D27" w:rsidRDefault="005865AF" w:rsidP="006B5451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LIPOVLJANI LIGNUM</w:t>
      </w:r>
      <w:r w:rsidR="006B5451" w:rsidRPr="00511D27">
        <w:rPr>
          <w:rFonts w:cstheme="minorHAnsi"/>
          <w:sz w:val="20"/>
          <w:szCs w:val="20"/>
        </w:rPr>
        <w:t xml:space="preserve"> d.o.o. za </w:t>
      </w:r>
      <w:r>
        <w:rPr>
          <w:rFonts w:cstheme="minorHAnsi"/>
          <w:sz w:val="20"/>
          <w:szCs w:val="20"/>
        </w:rPr>
        <w:t>proizvodnju i usluge</w:t>
      </w:r>
      <w:r w:rsidR="006B5451" w:rsidRPr="00511D27">
        <w:rPr>
          <w:rFonts w:cstheme="minorHAnsi"/>
          <w:sz w:val="20"/>
          <w:szCs w:val="20"/>
        </w:rPr>
        <w:t xml:space="preserve"> </w:t>
      </w:r>
      <w:r w:rsidR="006B5451" w:rsidRPr="00511D27">
        <w:rPr>
          <w:rFonts w:eastAsia="Times New Roman" w:cstheme="minorHAnsi"/>
          <w:sz w:val="20"/>
          <w:szCs w:val="20"/>
        </w:rPr>
        <w:t>je 20</w:t>
      </w:r>
      <w:r w:rsidR="006B5451">
        <w:rPr>
          <w:rFonts w:eastAsia="Times New Roman" w:cstheme="minorHAnsi"/>
          <w:sz w:val="20"/>
          <w:szCs w:val="20"/>
        </w:rPr>
        <w:t>21</w:t>
      </w:r>
      <w:r w:rsidR="006B5451" w:rsidRPr="00511D27">
        <w:rPr>
          <w:rFonts w:eastAsia="Times New Roman" w:cstheme="minorHAnsi"/>
          <w:sz w:val="20"/>
          <w:szCs w:val="20"/>
        </w:rPr>
        <w:t xml:space="preserve">. godine na javni poziv Ministarstva </w:t>
      </w:r>
      <w:r w:rsidR="006B5451">
        <w:rPr>
          <w:rFonts w:eastAsia="Times New Roman" w:cstheme="minorHAnsi"/>
          <w:sz w:val="20"/>
          <w:szCs w:val="20"/>
        </w:rPr>
        <w:t>gospodarstva i održivog razvoja</w:t>
      </w:r>
      <w:r w:rsidR="006B5451" w:rsidRPr="00511D27">
        <w:rPr>
          <w:rFonts w:eastAsia="Times New Roman" w:cstheme="minorHAnsi"/>
          <w:sz w:val="20"/>
          <w:szCs w:val="20"/>
        </w:rPr>
        <w:t xml:space="preserve"> „</w:t>
      </w:r>
      <w:r w:rsidR="006B5451">
        <w:rPr>
          <w:rFonts w:eastAsia="Times New Roman" w:cstheme="minorHAnsi"/>
          <w:sz w:val="20"/>
          <w:szCs w:val="20"/>
        </w:rPr>
        <w:t>Povećanje energetske učinkovitosti i korištenja obnovljivih izvora energije u proizvodnim industrijama</w:t>
      </w:r>
      <w:r w:rsidR="006B5451" w:rsidRPr="00511D27">
        <w:rPr>
          <w:rFonts w:eastAsia="Times New Roman" w:cstheme="minorHAnsi"/>
          <w:sz w:val="20"/>
          <w:szCs w:val="20"/>
        </w:rPr>
        <w:t>“ prijavio projekt pod nazivom „</w:t>
      </w:r>
      <w:r>
        <w:rPr>
          <w:rFonts w:cstheme="minorHAnsi"/>
          <w:sz w:val="20"/>
          <w:szCs w:val="20"/>
        </w:rPr>
        <w:t>Povećanjem energetske učinkovitosti do rasta konkurentnosti društva</w:t>
      </w:r>
      <w:r w:rsidRPr="007340F6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–</w:t>
      </w:r>
      <w:r w:rsidRPr="007340F6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LIPOVLJANI LIGNUM</w:t>
      </w:r>
      <w:r w:rsidRPr="007340F6">
        <w:rPr>
          <w:rFonts w:cstheme="minorHAnsi"/>
          <w:sz w:val="20"/>
          <w:szCs w:val="20"/>
        </w:rPr>
        <w:t xml:space="preserve"> d.o.o.</w:t>
      </w:r>
      <w:r w:rsidR="006B5451" w:rsidRPr="00511D27">
        <w:rPr>
          <w:rFonts w:eastAsia="Times New Roman" w:cstheme="minorHAnsi"/>
          <w:sz w:val="20"/>
          <w:szCs w:val="20"/>
        </w:rPr>
        <w:t xml:space="preserve">“ Ugovor o dodjeli bespovratnih sredstava u okviru navedenog poziva </w:t>
      </w:r>
      <w:r w:rsidR="006B5451">
        <w:rPr>
          <w:rFonts w:eastAsia="Times New Roman" w:cstheme="minorHAnsi"/>
          <w:sz w:val="20"/>
          <w:szCs w:val="20"/>
        </w:rPr>
        <w:t>potpisan je 2</w:t>
      </w:r>
      <w:r>
        <w:rPr>
          <w:rFonts w:eastAsia="Times New Roman" w:cstheme="minorHAnsi"/>
          <w:sz w:val="20"/>
          <w:szCs w:val="20"/>
        </w:rPr>
        <w:t>2</w:t>
      </w:r>
      <w:r w:rsidR="006B5451">
        <w:rPr>
          <w:rFonts w:eastAsia="Times New Roman" w:cstheme="minorHAnsi"/>
          <w:sz w:val="20"/>
          <w:szCs w:val="20"/>
        </w:rPr>
        <w:t>. prosinca 2021. godine.</w:t>
      </w:r>
    </w:p>
    <w:p w14:paraId="54957D8A" w14:textId="77777777" w:rsidR="006B5451" w:rsidRDefault="006B5451" w:rsidP="006B5451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  <w:sz w:val="20"/>
          <w:szCs w:val="20"/>
        </w:rPr>
      </w:pPr>
    </w:p>
    <w:p w14:paraId="05FDEDE7" w14:textId="77777777" w:rsidR="006B5451" w:rsidRDefault="006B5451" w:rsidP="006B5451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  <w:sz w:val="20"/>
          <w:szCs w:val="20"/>
        </w:rPr>
      </w:pPr>
    </w:p>
    <w:p w14:paraId="799C776E" w14:textId="77777777" w:rsidR="006B5451" w:rsidRDefault="006B5451" w:rsidP="006B5451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 w:themeColor="text1"/>
          <w:sz w:val="20"/>
          <w:szCs w:val="20"/>
          <w:shd w:val="clear" w:color="auto" w:fill="FFFFFF"/>
        </w:rPr>
      </w:pPr>
      <w:r w:rsidRPr="0006679E">
        <w:rPr>
          <w:rFonts w:cstheme="minorHAnsi"/>
          <w:b/>
          <w:bCs/>
          <w:sz w:val="20"/>
          <w:szCs w:val="20"/>
        </w:rPr>
        <w:t>SAŽETAK PROJEKTA:</w:t>
      </w:r>
      <w:r>
        <w:rPr>
          <w:rFonts w:cstheme="minorHAnsi"/>
          <w:sz w:val="20"/>
          <w:szCs w:val="20"/>
        </w:rPr>
        <w:t xml:space="preserve"> </w:t>
      </w:r>
      <w:r w:rsidRPr="007340F6">
        <w:rPr>
          <w:rFonts w:cstheme="minorHAnsi"/>
          <w:color w:val="000000" w:themeColor="text1"/>
          <w:sz w:val="20"/>
          <w:szCs w:val="20"/>
          <w:shd w:val="clear" w:color="auto" w:fill="FFFFFF"/>
        </w:rPr>
        <w:t> </w:t>
      </w:r>
    </w:p>
    <w:p w14:paraId="029E9FDD" w14:textId="7468AEFB" w:rsidR="006B5451" w:rsidRPr="009E6EEE" w:rsidRDefault="009E6EEE" w:rsidP="009E6EEE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9E6EEE">
        <w:rPr>
          <w:rFonts w:cstheme="minorHAnsi"/>
          <w:sz w:val="20"/>
          <w:szCs w:val="20"/>
        </w:rPr>
        <w:t xml:space="preserve">Svrha projekta je smanjiti potrošnju energije u odnosu na energiju isporučenu prije provedbe projekta u proizvodnom pogonu za 72,19% godišnje, povećati udio korištenja obnovljivih izvora energije za 2.574.588,60 kWh/god te smanjiti emisije CO2 za 1.162,27 t/god. Projekt će doprinijeti povećanju konkurentnosti društva Lipovljani </w:t>
      </w:r>
      <w:proofErr w:type="spellStart"/>
      <w:r w:rsidRPr="009E6EEE">
        <w:rPr>
          <w:rFonts w:cstheme="minorHAnsi"/>
          <w:sz w:val="20"/>
          <w:szCs w:val="20"/>
        </w:rPr>
        <w:t>Lignum</w:t>
      </w:r>
      <w:proofErr w:type="spellEnd"/>
      <w:r w:rsidRPr="009E6EEE">
        <w:rPr>
          <w:rFonts w:cstheme="minorHAnsi"/>
          <w:sz w:val="20"/>
          <w:szCs w:val="20"/>
        </w:rPr>
        <w:t xml:space="preserve"> d.o.o. i uštedama energije u proizvodnim industrijama u Republici Hrvatskoj. Ciljna skupina projekta su djelatnici kojima će se poboljšati radni uvjeti te iz ostvarenih ušteda financirati nova ulaganja za rast i razvoj poslovanja, partneri (dobavljači i kupci) i građani, koji će u dugom roku imati čišći okoliš.</w:t>
      </w:r>
      <w:r w:rsidR="006B5451" w:rsidRPr="009E6EEE">
        <w:rPr>
          <w:rFonts w:cstheme="minorHAnsi"/>
          <w:color w:val="000000" w:themeColor="text1"/>
          <w:sz w:val="20"/>
          <w:szCs w:val="20"/>
        </w:rPr>
        <w:br/>
      </w:r>
    </w:p>
    <w:p w14:paraId="1A67A027" w14:textId="77777777" w:rsidR="006B5451" w:rsidRDefault="006B5451" w:rsidP="006B5451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1477BADC" w14:textId="77777777" w:rsidR="006B5451" w:rsidRDefault="006B5451" w:rsidP="006B5451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sz w:val="20"/>
          <w:szCs w:val="20"/>
        </w:rPr>
      </w:pPr>
      <w:r w:rsidRPr="0006679E">
        <w:rPr>
          <w:rFonts w:ascii="Calibri" w:hAnsi="Calibri" w:cs="Calibri"/>
          <w:b/>
          <w:bCs/>
          <w:sz w:val="20"/>
          <w:szCs w:val="20"/>
        </w:rPr>
        <w:t>CILJEVI I REZULTATI</w:t>
      </w:r>
      <w:r>
        <w:rPr>
          <w:rFonts w:ascii="Calibri" w:hAnsi="Calibri" w:cs="Calibri"/>
          <w:b/>
          <w:bCs/>
          <w:sz w:val="20"/>
          <w:szCs w:val="20"/>
        </w:rPr>
        <w:t xml:space="preserve"> PROJEKTA</w:t>
      </w:r>
      <w:r w:rsidRPr="0006679E">
        <w:rPr>
          <w:rFonts w:ascii="Calibri" w:hAnsi="Calibri" w:cs="Calibri"/>
          <w:b/>
          <w:bCs/>
          <w:sz w:val="20"/>
          <w:szCs w:val="20"/>
        </w:rPr>
        <w:t>:</w:t>
      </w:r>
      <w:r>
        <w:rPr>
          <w:rFonts w:ascii="Calibri" w:hAnsi="Calibri" w:cs="Calibri"/>
          <w:sz w:val="20"/>
          <w:szCs w:val="20"/>
        </w:rPr>
        <w:t xml:space="preserve"> </w:t>
      </w:r>
    </w:p>
    <w:p w14:paraId="6B0AD080" w14:textId="67D9CA6C" w:rsidR="009D59AB" w:rsidRPr="009D59AB" w:rsidRDefault="009D59AB" w:rsidP="009D59A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9D59AB">
        <w:rPr>
          <w:rFonts w:ascii="Calibri" w:hAnsi="Calibri" w:cs="Calibri"/>
          <w:sz w:val="20"/>
          <w:szCs w:val="20"/>
        </w:rPr>
        <w:t>Opći cilj projekta je doprinijeti povećanju učinkovitog korištenja energije u proizvodnim industrijama i tako omogućiti rast konkurentnosti cjelokupnog gospodarskog sustava Hrvatske, što je</w:t>
      </w:r>
      <w:r>
        <w:rPr>
          <w:rFonts w:ascii="Calibri" w:hAnsi="Calibri" w:cs="Calibri"/>
          <w:sz w:val="20"/>
          <w:szCs w:val="20"/>
        </w:rPr>
        <w:t xml:space="preserve"> </w:t>
      </w:r>
      <w:r w:rsidRPr="009D59AB">
        <w:rPr>
          <w:rFonts w:ascii="Calibri" w:hAnsi="Calibri" w:cs="Calibri"/>
          <w:sz w:val="20"/>
          <w:szCs w:val="20"/>
        </w:rPr>
        <w:t>u skladu i s ciljem Europske unije, za koju je energetska učinkovitost i smanjenje potrošnje energije za najmanje 32,5% do 2030. godine strateški prioritet.</w:t>
      </w:r>
    </w:p>
    <w:p w14:paraId="3F2A8FFD" w14:textId="77777777" w:rsidR="009D59AB" w:rsidRPr="009D59AB" w:rsidRDefault="009D59AB" w:rsidP="009D59A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0BDADDB4" w14:textId="12FA5D7C" w:rsidR="009D59AB" w:rsidRPr="009D59AB" w:rsidRDefault="009D59AB" w:rsidP="009D59A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9D59AB">
        <w:rPr>
          <w:rFonts w:ascii="Calibri" w:hAnsi="Calibri" w:cs="Calibri"/>
          <w:sz w:val="20"/>
          <w:szCs w:val="20"/>
        </w:rPr>
        <w:t xml:space="preserve">Svrha projekta je povećati učinkovitost korištenja energije društva Lipovljani </w:t>
      </w:r>
      <w:proofErr w:type="spellStart"/>
      <w:r w:rsidRPr="009D59AB">
        <w:rPr>
          <w:rFonts w:ascii="Calibri" w:hAnsi="Calibri" w:cs="Calibri"/>
          <w:sz w:val="20"/>
          <w:szCs w:val="20"/>
        </w:rPr>
        <w:t>Lignum</w:t>
      </w:r>
      <w:proofErr w:type="spellEnd"/>
      <w:r w:rsidRPr="009D59AB">
        <w:rPr>
          <w:rFonts w:ascii="Calibri" w:hAnsi="Calibri" w:cs="Calibri"/>
          <w:sz w:val="20"/>
          <w:szCs w:val="20"/>
        </w:rPr>
        <w:t xml:space="preserve"> d.o.o. ulaganjem, tj. smanjiti potrošnju energije u odnosu na isporučenu prije provedbe projekta u proizvodnom pogonu za 72,19% godišnje i smanjiti emisije CO2 za 1.162,27 t/god, a izgradnja fotonaponske elektrane povećat će količine energije proizvedene iz OIE za 2.574.588,60 kWh/god. Konkretno, isporučena energija u proizvodnom pogonu prije zahvata iznosi 4.878.821,60 kWh/god, a uspješnom provedbom predloženog projekta (proračunata) isporučena energija nakon</w:t>
      </w:r>
      <w:r w:rsidR="00D50BC8">
        <w:rPr>
          <w:rFonts w:ascii="Calibri" w:hAnsi="Calibri" w:cs="Calibri"/>
          <w:sz w:val="20"/>
          <w:szCs w:val="20"/>
        </w:rPr>
        <w:t xml:space="preserve"> </w:t>
      </w:r>
      <w:r w:rsidRPr="009D59AB">
        <w:rPr>
          <w:rFonts w:ascii="Calibri" w:hAnsi="Calibri" w:cs="Calibri"/>
          <w:sz w:val="20"/>
          <w:szCs w:val="20"/>
        </w:rPr>
        <w:t>zahvata iznosit će 1.356.779,12 kWh/god (ušteda od 72,19%). Također, važno je istaknuti kako će nakon provedbe mjera energetske obnove smanjenje emisija CO2 u proizvodnom pogonu iznositi 1.162,27 t/god.</w:t>
      </w:r>
    </w:p>
    <w:p w14:paraId="4F50BFC5" w14:textId="77777777" w:rsidR="009D59AB" w:rsidRPr="009D59AB" w:rsidRDefault="009D59AB" w:rsidP="009D59A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14:paraId="242B6B4C" w14:textId="4F5B3AD5" w:rsidR="009D59AB" w:rsidRPr="009D59AB" w:rsidRDefault="009D59AB" w:rsidP="009D59A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9D59AB">
        <w:rPr>
          <w:rFonts w:ascii="Calibri" w:hAnsi="Calibri" w:cs="Calibri"/>
          <w:sz w:val="20"/>
          <w:szCs w:val="20"/>
        </w:rPr>
        <w:t>Provedba projekta i svih definiranih mjera dovest će do ispunjenja ciljeva projekta, ali i ciljeva Javnog poziva. Također, projekt je usklađen s europskim i nacionalnim strateškim</w:t>
      </w:r>
      <w:r>
        <w:rPr>
          <w:rFonts w:ascii="Calibri" w:hAnsi="Calibri" w:cs="Calibri"/>
          <w:sz w:val="20"/>
          <w:szCs w:val="20"/>
        </w:rPr>
        <w:t xml:space="preserve"> </w:t>
      </w:r>
      <w:r w:rsidRPr="009D59AB">
        <w:rPr>
          <w:rFonts w:ascii="Calibri" w:hAnsi="Calibri" w:cs="Calibri"/>
          <w:sz w:val="20"/>
          <w:szCs w:val="20"/>
        </w:rPr>
        <w:t>dokumentima. Projekt izravno doprinosi:</w:t>
      </w:r>
    </w:p>
    <w:p w14:paraId="30BFF603" w14:textId="77777777" w:rsidR="009D59AB" w:rsidRPr="009D59AB" w:rsidRDefault="009D59AB" w:rsidP="009D59A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9D59AB">
        <w:rPr>
          <w:rFonts w:ascii="Calibri" w:hAnsi="Calibri" w:cs="Calibri"/>
          <w:sz w:val="20"/>
          <w:szCs w:val="20"/>
        </w:rPr>
        <w:t>(1) ostvarenju klimatsko-energetskog cilja „20/20/20“ iz strategije Europa 2020.</w:t>
      </w:r>
    </w:p>
    <w:p w14:paraId="6F5E9841" w14:textId="0C8DE217" w:rsidR="009D59AB" w:rsidRPr="009D59AB" w:rsidRDefault="009D59AB" w:rsidP="009D59A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9D59AB">
        <w:rPr>
          <w:rFonts w:ascii="Calibri" w:hAnsi="Calibri" w:cs="Calibri"/>
          <w:sz w:val="20"/>
          <w:szCs w:val="20"/>
        </w:rPr>
        <w:t xml:space="preserve">(2) promicanju energetske učinkovitosti, tj. smanjenju emisija CO2 u skladu sa Sporazumom o partnerstvu između RH i EK: Tematski cilj 4 „Podržavanje prelaska na </w:t>
      </w:r>
      <w:proofErr w:type="spellStart"/>
      <w:r w:rsidRPr="009D59AB">
        <w:rPr>
          <w:rFonts w:ascii="Calibri" w:hAnsi="Calibri" w:cs="Calibri"/>
          <w:sz w:val="20"/>
          <w:szCs w:val="20"/>
        </w:rPr>
        <w:t>niskougljično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r w:rsidRPr="009D59AB">
        <w:rPr>
          <w:rFonts w:ascii="Calibri" w:hAnsi="Calibri" w:cs="Calibri"/>
          <w:sz w:val="20"/>
          <w:szCs w:val="20"/>
        </w:rPr>
        <w:t>gospodarstvo u svim sektorima“</w:t>
      </w:r>
    </w:p>
    <w:p w14:paraId="002E395E" w14:textId="0FC594AC" w:rsidR="009D59AB" w:rsidRPr="009D59AB" w:rsidRDefault="009D59AB" w:rsidP="009D59A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9D59AB">
        <w:rPr>
          <w:rFonts w:ascii="Calibri" w:hAnsi="Calibri" w:cs="Calibri"/>
          <w:sz w:val="20"/>
          <w:szCs w:val="20"/>
        </w:rPr>
        <w:t>(3) ostvarenju pokazatelja Operativnog programa „Konkurentnost i kohezija 2014.-2020.“: PO 4 Promicanje energetske učinkovitosti i obnovljivih izvora energije, SC 4b1 Povećanje</w:t>
      </w:r>
      <w:r>
        <w:rPr>
          <w:rFonts w:ascii="Calibri" w:hAnsi="Calibri" w:cs="Calibri"/>
          <w:sz w:val="20"/>
          <w:szCs w:val="20"/>
        </w:rPr>
        <w:t xml:space="preserve"> </w:t>
      </w:r>
      <w:r w:rsidRPr="009D59AB">
        <w:rPr>
          <w:rFonts w:ascii="Calibri" w:hAnsi="Calibri" w:cs="Calibri"/>
          <w:sz w:val="20"/>
          <w:szCs w:val="20"/>
        </w:rPr>
        <w:t>energetske učinkovitosti i korištenja obnovljivih izvora energije u proizvodnim industrijama</w:t>
      </w:r>
    </w:p>
    <w:p w14:paraId="085B8C57" w14:textId="77777777" w:rsidR="009D59AB" w:rsidRPr="009D59AB" w:rsidRDefault="009D59AB" w:rsidP="009D59A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9D59AB">
        <w:rPr>
          <w:rFonts w:ascii="Calibri" w:hAnsi="Calibri" w:cs="Calibri"/>
          <w:sz w:val="20"/>
          <w:szCs w:val="20"/>
        </w:rPr>
        <w:t>(4) usklađenosti sa Zakonom o energetskoj učinkovitosti (NN, br. 127/14, 116/18, 25/20)</w:t>
      </w:r>
    </w:p>
    <w:p w14:paraId="505749C2" w14:textId="3B239A22" w:rsidR="006B5451" w:rsidRPr="009D59AB" w:rsidRDefault="009D59AB" w:rsidP="009D59AB">
      <w:pPr>
        <w:pStyle w:val="CommentText"/>
        <w:spacing w:after="0" w:line="276" w:lineRule="auto"/>
        <w:jc w:val="both"/>
        <w:rPr>
          <w:rFonts w:ascii="Calibri" w:hAnsi="Calibri" w:cs="Calibri"/>
        </w:rPr>
      </w:pPr>
      <w:r w:rsidRPr="009D59AB">
        <w:rPr>
          <w:rFonts w:ascii="Calibri" w:hAnsi="Calibri" w:cs="Calibri"/>
        </w:rPr>
        <w:t>(5) Integriranome nacionalnom energetskom i klimatskom planu za Republiku Hrvatsku za razdoblje od 2021. do 2030.</w:t>
      </w:r>
    </w:p>
    <w:p w14:paraId="3FB56926" w14:textId="77777777" w:rsidR="006B5451" w:rsidRDefault="006B5451" w:rsidP="006B5451">
      <w:pPr>
        <w:spacing w:after="0" w:line="276" w:lineRule="auto"/>
        <w:jc w:val="both"/>
        <w:rPr>
          <w:rFonts w:cstheme="minorHAnsi"/>
          <w:b/>
          <w:bCs/>
          <w:sz w:val="20"/>
          <w:szCs w:val="20"/>
        </w:rPr>
      </w:pPr>
    </w:p>
    <w:p w14:paraId="5D9A749A" w14:textId="77777777" w:rsidR="009D59AB" w:rsidRDefault="009D59AB" w:rsidP="006B5451">
      <w:pPr>
        <w:spacing w:after="0" w:line="276" w:lineRule="auto"/>
        <w:jc w:val="both"/>
        <w:rPr>
          <w:rFonts w:cstheme="minorHAnsi"/>
          <w:b/>
          <w:bCs/>
          <w:sz w:val="20"/>
          <w:szCs w:val="20"/>
        </w:rPr>
      </w:pPr>
    </w:p>
    <w:p w14:paraId="3B500902" w14:textId="77777777" w:rsidR="00D50BC8" w:rsidRDefault="00D50BC8">
      <w:pPr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br w:type="page"/>
      </w:r>
    </w:p>
    <w:p w14:paraId="7C673C63" w14:textId="29E11785" w:rsidR="006B5451" w:rsidRPr="009836F4" w:rsidRDefault="006B5451" w:rsidP="006B5451">
      <w:pPr>
        <w:spacing w:after="0" w:line="276" w:lineRule="auto"/>
        <w:jc w:val="both"/>
        <w:rPr>
          <w:rFonts w:cstheme="minorHAnsi"/>
          <w:b/>
          <w:bCs/>
          <w:sz w:val="20"/>
          <w:szCs w:val="20"/>
        </w:rPr>
      </w:pPr>
      <w:r w:rsidRPr="009836F4">
        <w:rPr>
          <w:rFonts w:cstheme="minorHAnsi"/>
          <w:b/>
          <w:bCs/>
          <w:sz w:val="20"/>
          <w:szCs w:val="20"/>
        </w:rPr>
        <w:lastRenderedPageBreak/>
        <w:t>PROJEKTNE AKTIVNOSTI</w:t>
      </w:r>
      <w:r>
        <w:rPr>
          <w:rFonts w:cstheme="minorHAnsi"/>
          <w:b/>
          <w:bCs/>
          <w:sz w:val="20"/>
          <w:szCs w:val="20"/>
        </w:rPr>
        <w:t xml:space="preserve"> OBUHVAĆAJU</w:t>
      </w:r>
      <w:r w:rsidRPr="009836F4">
        <w:rPr>
          <w:rFonts w:cstheme="minorHAnsi"/>
          <w:b/>
          <w:bCs/>
          <w:sz w:val="20"/>
          <w:szCs w:val="20"/>
        </w:rPr>
        <w:t>:</w:t>
      </w:r>
    </w:p>
    <w:p w14:paraId="1F849415" w14:textId="77777777" w:rsidR="006B5451" w:rsidRDefault="006B5451" w:rsidP="006B5451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Pripremu dokumentacije projektnog prijedloga i ostale projektno-tehničke dokumentacije</w:t>
      </w:r>
    </w:p>
    <w:p w14:paraId="3C31B5AF" w14:textId="3FA44184" w:rsidR="006B5451" w:rsidRDefault="009D59AB" w:rsidP="006B5451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Mjere</w:t>
      </w:r>
      <w:r w:rsidR="006B5451">
        <w:rPr>
          <w:rFonts w:cstheme="minorHAnsi"/>
          <w:sz w:val="20"/>
          <w:szCs w:val="20"/>
        </w:rPr>
        <w:t xml:space="preserve"> energetske učinkovitosti</w:t>
      </w:r>
    </w:p>
    <w:p w14:paraId="5A13BC0F" w14:textId="77777777" w:rsidR="006B5451" w:rsidRDefault="006B5451" w:rsidP="006B5451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Promicanje energije iz obnovljivih izvora energije</w:t>
      </w:r>
    </w:p>
    <w:p w14:paraId="42228236" w14:textId="77777777" w:rsidR="006B5451" w:rsidRDefault="006B5451" w:rsidP="006B5451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Upravljanje projektom</w:t>
      </w:r>
    </w:p>
    <w:p w14:paraId="40EA27A3" w14:textId="77777777" w:rsidR="006B5451" w:rsidRPr="009836F4" w:rsidRDefault="006B5451" w:rsidP="006B5451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Promidžbu i vidljivost</w:t>
      </w:r>
    </w:p>
    <w:p w14:paraId="71FF5FC5" w14:textId="77777777" w:rsidR="006B5451" w:rsidRDefault="006B5451" w:rsidP="006B5451">
      <w:pPr>
        <w:spacing w:after="0" w:line="276" w:lineRule="auto"/>
        <w:jc w:val="both"/>
        <w:rPr>
          <w:rFonts w:cstheme="minorHAnsi"/>
          <w:iCs/>
          <w:sz w:val="20"/>
          <w:szCs w:val="20"/>
        </w:rPr>
      </w:pPr>
    </w:p>
    <w:p w14:paraId="2618B437" w14:textId="77777777" w:rsidR="006B5451" w:rsidRDefault="006B5451" w:rsidP="006B545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i/>
          <w:iCs/>
          <w:sz w:val="20"/>
          <w:szCs w:val="20"/>
        </w:rPr>
      </w:pPr>
      <w:r w:rsidRPr="009836F4">
        <w:rPr>
          <w:rFonts w:ascii="Calibri" w:hAnsi="Calibri" w:cs="Calibri"/>
          <w:i/>
          <w:iCs/>
          <w:sz w:val="20"/>
          <w:szCs w:val="20"/>
        </w:rPr>
        <w:t>Projekt je sufinancirala Europska Unija iz Europskog fonda za regionalni razvoj</w:t>
      </w:r>
      <w:r>
        <w:rPr>
          <w:rFonts w:ascii="Calibri" w:hAnsi="Calibri" w:cs="Calibri"/>
          <w:i/>
          <w:iCs/>
          <w:sz w:val="20"/>
          <w:szCs w:val="20"/>
        </w:rPr>
        <w:t>,</w:t>
      </w:r>
      <w:r w:rsidRPr="009836F4">
        <w:rPr>
          <w:rFonts w:ascii="Calibri" w:hAnsi="Calibri" w:cs="Calibri"/>
          <w:i/>
          <w:iCs/>
          <w:sz w:val="20"/>
          <w:szCs w:val="20"/>
        </w:rPr>
        <w:t xml:space="preserve"> a provodi se u okviru Operativnog programa „Konkurentnost i kohezija“ 2014-2020 iz Mehanizma za oporavak i otpornost 2021.-2026. (National </w:t>
      </w:r>
      <w:proofErr w:type="spellStart"/>
      <w:r w:rsidRPr="009836F4">
        <w:rPr>
          <w:rFonts w:ascii="Calibri" w:hAnsi="Calibri" w:cs="Calibri"/>
          <w:i/>
          <w:iCs/>
          <w:sz w:val="20"/>
          <w:szCs w:val="20"/>
        </w:rPr>
        <w:t>Recovery</w:t>
      </w:r>
      <w:proofErr w:type="spellEnd"/>
      <w:r w:rsidRPr="009836F4">
        <w:rPr>
          <w:rFonts w:ascii="Calibri" w:hAnsi="Calibri" w:cs="Calibri"/>
          <w:i/>
          <w:iCs/>
          <w:sz w:val="20"/>
          <w:szCs w:val="20"/>
        </w:rPr>
        <w:t xml:space="preserve"> </w:t>
      </w:r>
      <w:proofErr w:type="spellStart"/>
      <w:r w:rsidRPr="009836F4">
        <w:rPr>
          <w:rFonts w:ascii="Calibri" w:hAnsi="Calibri" w:cs="Calibri"/>
          <w:i/>
          <w:iCs/>
          <w:sz w:val="20"/>
          <w:szCs w:val="20"/>
        </w:rPr>
        <w:t>and</w:t>
      </w:r>
      <w:proofErr w:type="spellEnd"/>
      <w:r w:rsidRPr="009836F4">
        <w:rPr>
          <w:rFonts w:ascii="Calibri" w:hAnsi="Calibri" w:cs="Calibri"/>
          <w:i/>
          <w:iCs/>
          <w:sz w:val="20"/>
          <w:szCs w:val="20"/>
        </w:rPr>
        <w:t xml:space="preserve"> </w:t>
      </w:r>
      <w:proofErr w:type="spellStart"/>
      <w:r w:rsidRPr="009836F4">
        <w:rPr>
          <w:rFonts w:ascii="Calibri" w:hAnsi="Calibri" w:cs="Calibri"/>
          <w:i/>
          <w:iCs/>
          <w:sz w:val="20"/>
          <w:szCs w:val="20"/>
        </w:rPr>
        <w:t>resiliance</w:t>
      </w:r>
      <w:proofErr w:type="spellEnd"/>
      <w:r w:rsidRPr="009836F4">
        <w:rPr>
          <w:rFonts w:ascii="Calibri" w:hAnsi="Calibri" w:cs="Calibri"/>
          <w:i/>
          <w:iCs/>
          <w:sz w:val="20"/>
          <w:szCs w:val="20"/>
        </w:rPr>
        <w:t xml:space="preserve"> plan 2021-2026).</w:t>
      </w:r>
    </w:p>
    <w:p w14:paraId="1CC67BBF" w14:textId="77777777" w:rsidR="006B5451" w:rsidRPr="009836F4" w:rsidRDefault="006B5451" w:rsidP="006B545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i/>
          <w:iCs/>
          <w:sz w:val="20"/>
          <w:szCs w:val="20"/>
        </w:rPr>
      </w:pPr>
    </w:p>
    <w:p w14:paraId="05861918" w14:textId="5E9006C0" w:rsidR="006B5451" w:rsidRPr="007340F6" w:rsidRDefault="006B5451" w:rsidP="006B5451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666666"/>
          <w:spacing w:val="8"/>
          <w:sz w:val="20"/>
          <w:szCs w:val="20"/>
        </w:rPr>
      </w:pPr>
      <w:r w:rsidRPr="009836F4">
        <w:rPr>
          <w:rFonts w:ascii="Calibri" w:hAnsi="Calibri" w:cs="Calibri"/>
          <w:sz w:val="20"/>
          <w:szCs w:val="20"/>
        </w:rPr>
        <w:t>Za više informacija o Europskim strukturnim i investicijskim fondovima posjetite:</w:t>
      </w:r>
      <w:r w:rsidRPr="009836F4">
        <w:rPr>
          <w:rFonts w:ascii="Calibri" w:hAnsi="Calibri" w:cs="Calibri"/>
          <w:sz w:val="20"/>
          <w:szCs w:val="20"/>
        </w:rPr>
        <w:br/>
      </w:r>
      <w:hyperlink r:id="rId7" w:history="1">
        <w:r w:rsidRPr="007340F6">
          <w:rPr>
            <w:rStyle w:val="Hyperlink"/>
            <w:rFonts w:asciiTheme="minorHAnsi" w:hAnsiTheme="minorHAnsi" w:cstheme="minorHAnsi"/>
            <w:color w:val="337AB7"/>
            <w:spacing w:val="8"/>
            <w:sz w:val="20"/>
            <w:szCs w:val="20"/>
          </w:rPr>
          <w:t>https://strukturnifondovi.hr/</w:t>
        </w:r>
      </w:hyperlink>
    </w:p>
    <w:p w14:paraId="047D64DF" w14:textId="77777777" w:rsidR="006B5451" w:rsidRPr="007340F6" w:rsidRDefault="0069661F" w:rsidP="006B5451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666666"/>
          <w:spacing w:val="8"/>
          <w:sz w:val="20"/>
          <w:szCs w:val="20"/>
        </w:rPr>
      </w:pPr>
      <w:hyperlink r:id="rId8" w:history="1">
        <w:r w:rsidR="006B5451" w:rsidRPr="007340F6">
          <w:rPr>
            <w:rStyle w:val="Hyperlink"/>
            <w:rFonts w:asciiTheme="minorHAnsi" w:hAnsiTheme="minorHAnsi" w:cstheme="minorHAnsi"/>
            <w:color w:val="337AB7"/>
            <w:spacing w:val="8"/>
            <w:sz w:val="20"/>
            <w:szCs w:val="20"/>
          </w:rPr>
          <w:t>https://strukturnifondovi.hr/eu-fondovi/esi-fondovi-2014-2020/op-konkurentnost-i-kohezija/</w:t>
        </w:r>
      </w:hyperlink>
    </w:p>
    <w:p w14:paraId="5993667F" w14:textId="65412B71" w:rsidR="006B5451" w:rsidRPr="002C6B9B" w:rsidRDefault="0069661F" w:rsidP="006B5451">
      <w:pPr>
        <w:spacing w:after="0" w:line="276" w:lineRule="auto"/>
        <w:rPr>
          <w:rFonts w:cstheme="minorHAnsi"/>
          <w:color w:val="2E74B5" w:themeColor="accent1" w:themeShade="BF"/>
          <w:sz w:val="20"/>
          <w:szCs w:val="20"/>
        </w:rPr>
      </w:pPr>
      <w:hyperlink r:id="rId9" w:history="1">
        <w:r w:rsidR="002C6B9B" w:rsidRPr="002C6B9B">
          <w:rPr>
            <w:rStyle w:val="Hyperlink"/>
            <w:rFonts w:cstheme="minorHAnsi"/>
            <w:color w:val="2E74B5" w:themeColor="accent1" w:themeShade="BF"/>
            <w:sz w:val="20"/>
            <w:szCs w:val="20"/>
          </w:rPr>
          <w:t>https://planoporavka.gov.hr/</w:t>
        </w:r>
      </w:hyperlink>
    </w:p>
    <w:p w14:paraId="1CF039FA" w14:textId="77777777" w:rsidR="00B75FF4" w:rsidRPr="007340F6" w:rsidRDefault="00B75FF4" w:rsidP="006B5451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i/>
          <w:iCs/>
          <w:sz w:val="20"/>
          <w:szCs w:val="20"/>
        </w:rPr>
      </w:pPr>
    </w:p>
    <w:sectPr w:rsidR="00B75FF4" w:rsidRPr="007340F6" w:rsidSect="00D938E7">
      <w:headerReference w:type="default" r:id="rId10"/>
      <w:footerReference w:type="default" r:id="rId11"/>
      <w:pgSz w:w="11906" w:h="16838"/>
      <w:pgMar w:top="1418" w:right="1134" w:bottom="1418" w:left="1134" w:header="45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EDAF5" w14:textId="77777777" w:rsidR="00FC4FF0" w:rsidRDefault="00FC4FF0" w:rsidP="00FC4FF0">
      <w:pPr>
        <w:spacing w:after="0" w:line="240" w:lineRule="auto"/>
      </w:pPr>
      <w:r>
        <w:separator/>
      </w:r>
    </w:p>
  </w:endnote>
  <w:endnote w:type="continuationSeparator" w:id="0">
    <w:p w14:paraId="7302606A" w14:textId="77777777" w:rsidR="00FC4FF0" w:rsidRDefault="00FC4FF0" w:rsidP="00FC4F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C6658" w14:textId="77777777" w:rsidR="004A2B87" w:rsidRPr="004A2B87" w:rsidRDefault="004A2B87" w:rsidP="004A2B8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cstheme="minorHAnsi"/>
        <w:i/>
        <w:iCs/>
        <w:color w:val="000000"/>
        <w:sz w:val="20"/>
        <w:szCs w:val="20"/>
        <w:shd w:val="clear" w:color="auto" w:fill="FFFFFF"/>
      </w:rPr>
    </w:pPr>
    <w:r w:rsidRPr="004A2B87">
      <w:rPr>
        <w:rFonts w:eastAsia="Arial" w:cstheme="minorHAnsi"/>
        <w:i/>
        <w:iCs/>
        <w:sz w:val="20"/>
        <w:szCs w:val="20"/>
      </w:rPr>
      <w:t>F</w:t>
    </w:r>
    <w:r w:rsidRPr="004A2B87">
      <w:rPr>
        <w:rFonts w:cstheme="minorHAnsi"/>
        <w:i/>
        <w:iCs/>
        <w:color w:val="000000"/>
        <w:sz w:val="20"/>
        <w:szCs w:val="20"/>
        <w:shd w:val="clear" w:color="auto" w:fill="FFFFFF"/>
      </w:rPr>
      <w:t xml:space="preserve">inancira Europska unija – </w:t>
    </w:r>
    <w:proofErr w:type="spellStart"/>
    <w:r w:rsidRPr="004A2B87">
      <w:rPr>
        <w:rFonts w:cstheme="minorHAnsi"/>
        <w:i/>
        <w:iCs/>
        <w:color w:val="000000"/>
        <w:sz w:val="20"/>
        <w:szCs w:val="20"/>
        <w:shd w:val="clear" w:color="auto" w:fill="FFFFFF"/>
      </w:rPr>
      <w:t>NextGenerationEU</w:t>
    </w:r>
    <w:proofErr w:type="spellEnd"/>
    <w:r w:rsidRPr="004A2B87">
      <w:rPr>
        <w:rFonts w:cstheme="minorHAnsi"/>
        <w:i/>
        <w:iCs/>
        <w:color w:val="000000"/>
        <w:sz w:val="20"/>
        <w:szCs w:val="20"/>
        <w:shd w:val="clear" w:color="auto" w:fill="FFFFFF"/>
      </w:rPr>
      <w:t>.</w:t>
    </w:r>
  </w:p>
  <w:p w14:paraId="388A5AE7" w14:textId="11509ECA" w:rsidR="009D59AB" w:rsidRPr="004A2B87" w:rsidRDefault="004A2B87" w:rsidP="004A2B87">
    <w:pPr>
      <w:pStyle w:val="NormalWeb"/>
      <w:shd w:val="clear" w:color="auto" w:fill="FFFFFF"/>
      <w:spacing w:before="0" w:beforeAutospacing="0" w:after="0" w:afterAutospacing="0" w:line="276" w:lineRule="auto"/>
      <w:jc w:val="center"/>
      <w:rPr>
        <w:rFonts w:asciiTheme="minorHAnsi" w:hAnsiTheme="minorHAnsi" w:cstheme="minorHAnsi"/>
        <w:i/>
        <w:iCs/>
        <w:sz w:val="20"/>
        <w:szCs w:val="20"/>
      </w:rPr>
    </w:pPr>
    <w:r w:rsidRPr="004A2B87">
      <w:rPr>
        <w:rFonts w:asciiTheme="minorHAnsi" w:hAnsiTheme="minorHAnsi" w:cstheme="minorHAnsi"/>
        <w:i/>
        <w:iCs/>
        <w:color w:val="000000"/>
        <w:sz w:val="20"/>
        <w:szCs w:val="20"/>
      </w:rPr>
      <w:t>Izneseni stavovi i mišljenja samo su autorova i ne odražavaju nužno službena stajališta Europske unije ili Europske komisije. Ni Europska unija ni Europska komisija ne mogu se smatrati odgovornima za njih</w:t>
    </w:r>
  </w:p>
  <w:p w14:paraId="0AB0082A" w14:textId="77777777" w:rsidR="009D59AB" w:rsidRDefault="009D59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76BB5" w14:textId="77777777" w:rsidR="00FC4FF0" w:rsidRDefault="00FC4FF0" w:rsidP="00FC4FF0">
      <w:pPr>
        <w:spacing w:after="0" w:line="240" w:lineRule="auto"/>
      </w:pPr>
      <w:r>
        <w:separator/>
      </w:r>
    </w:p>
  </w:footnote>
  <w:footnote w:type="continuationSeparator" w:id="0">
    <w:p w14:paraId="485E879A" w14:textId="77777777" w:rsidR="00FC4FF0" w:rsidRDefault="00FC4FF0" w:rsidP="00FC4F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2" w:type="dxa"/>
      <w:jc w:val="center"/>
      <w:tblBorders>
        <w:bottom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694"/>
      <w:gridCol w:w="2319"/>
      <w:gridCol w:w="2217"/>
      <w:gridCol w:w="1842"/>
    </w:tblGrid>
    <w:tr w:rsidR="004A2B87" w14:paraId="59C19436" w14:textId="77777777" w:rsidTr="004A2B87">
      <w:trPr>
        <w:trHeight w:val="1183"/>
        <w:jc w:val="center"/>
      </w:trPr>
      <w:tc>
        <w:tcPr>
          <w:tcW w:w="2694" w:type="dxa"/>
          <w:shd w:val="clear" w:color="auto" w:fill="auto"/>
          <w:vAlign w:val="center"/>
        </w:tcPr>
        <w:p w14:paraId="37496002" w14:textId="77777777" w:rsidR="004A2B87" w:rsidRDefault="004A2B87" w:rsidP="004A2B87">
          <w:pPr>
            <w:jc w:val="center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  <w:noProof/>
            </w:rPr>
            <w:drawing>
              <wp:inline distT="0" distB="0" distL="0" distR="0" wp14:anchorId="725FB48E" wp14:editId="5C9E9CBA">
                <wp:extent cx="1488558" cy="463616"/>
                <wp:effectExtent l="0" t="0" r="0" b="0"/>
                <wp:docPr id="6" name="Picture 6" descr="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Text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0227" cy="4703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19" w:type="dxa"/>
          <w:shd w:val="clear" w:color="auto" w:fill="auto"/>
        </w:tcPr>
        <w:p w14:paraId="14F50093" w14:textId="77777777" w:rsidR="004A2B87" w:rsidRDefault="004A2B87" w:rsidP="004A2B87">
          <w:pPr>
            <w:rPr>
              <w:rFonts w:ascii="Arial" w:eastAsia="Arial" w:hAnsi="Arial" w:cs="Arial"/>
            </w:rPr>
          </w:pPr>
        </w:p>
      </w:tc>
      <w:tc>
        <w:tcPr>
          <w:tcW w:w="2217" w:type="dxa"/>
          <w:shd w:val="clear" w:color="auto" w:fill="auto"/>
          <w:vAlign w:val="center"/>
        </w:tcPr>
        <w:p w14:paraId="1623C4B2" w14:textId="77777777" w:rsidR="004A2B87" w:rsidRDefault="004A2B87" w:rsidP="004A2B87">
          <w:pPr>
            <w:jc w:val="center"/>
            <w:rPr>
              <w:rFonts w:ascii="Arial" w:eastAsia="Arial" w:hAnsi="Arial" w:cs="Arial"/>
            </w:rPr>
          </w:pPr>
        </w:p>
      </w:tc>
      <w:tc>
        <w:tcPr>
          <w:tcW w:w="1842" w:type="dxa"/>
          <w:shd w:val="clear" w:color="auto" w:fill="auto"/>
          <w:vAlign w:val="center"/>
        </w:tcPr>
        <w:p w14:paraId="753DAA77" w14:textId="77777777" w:rsidR="004A2B87" w:rsidRDefault="004A2B87" w:rsidP="004A2B87">
          <w:pPr>
            <w:ind w:right="139"/>
            <w:jc w:val="right"/>
            <w:rPr>
              <w:rFonts w:ascii="Arial" w:eastAsia="Arial" w:hAnsi="Arial" w:cs="Arial"/>
              <w:sz w:val="12"/>
              <w:szCs w:val="12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hidden="0" allowOverlap="1" wp14:anchorId="4BEF7033" wp14:editId="3BB02C32">
                <wp:simplePos x="0" y="0"/>
                <wp:positionH relativeFrom="column">
                  <wp:posOffset>-317500</wp:posOffset>
                </wp:positionH>
                <wp:positionV relativeFrom="paragraph">
                  <wp:posOffset>-5080</wp:posOffset>
                </wp:positionV>
                <wp:extent cx="736600" cy="475615"/>
                <wp:effectExtent l="0" t="0" r="6350" b="635"/>
                <wp:wrapSquare wrapText="bothSides" distT="0" distB="0" distL="114300" distR="114300"/>
                <wp:docPr id="7" name="image3.png" descr="A red and white checkered flag&#10;&#10;Description automatically generated with low confidenc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3.png" descr="A red and white checkered flag&#10;&#10;Description automatically generated with low confidence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6600" cy="47561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0036EDAF" w14:textId="5588477B" w:rsidR="00E149E9" w:rsidRDefault="00E149E9" w:rsidP="00A405D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D5C27"/>
    <w:multiLevelType w:val="hybridMultilevel"/>
    <w:tmpl w:val="190E71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C2112"/>
    <w:multiLevelType w:val="hybridMultilevel"/>
    <w:tmpl w:val="819494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F39"/>
    <w:rsid w:val="0006679E"/>
    <w:rsid w:val="00133485"/>
    <w:rsid w:val="001B4329"/>
    <w:rsid w:val="002473DF"/>
    <w:rsid w:val="002C6B9B"/>
    <w:rsid w:val="002C706E"/>
    <w:rsid w:val="00360A1F"/>
    <w:rsid w:val="003D008D"/>
    <w:rsid w:val="003E7732"/>
    <w:rsid w:val="00450B68"/>
    <w:rsid w:val="004579B0"/>
    <w:rsid w:val="00463602"/>
    <w:rsid w:val="004A2B87"/>
    <w:rsid w:val="004D4CC3"/>
    <w:rsid w:val="005000BD"/>
    <w:rsid w:val="005865AF"/>
    <w:rsid w:val="005A7164"/>
    <w:rsid w:val="005D5BFA"/>
    <w:rsid w:val="00606F80"/>
    <w:rsid w:val="00635D4E"/>
    <w:rsid w:val="006B5451"/>
    <w:rsid w:val="007340F6"/>
    <w:rsid w:val="00766A41"/>
    <w:rsid w:val="0086603F"/>
    <w:rsid w:val="0087367F"/>
    <w:rsid w:val="008A46E8"/>
    <w:rsid w:val="008D57C7"/>
    <w:rsid w:val="009836F4"/>
    <w:rsid w:val="009D59AB"/>
    <w:rsid w:val="009E6EEE"/>
    <w:rsid w:val="00A05F39"/>
    <w:rsid w:val="00A34DA5"/>
    <w:rsid w:val="00A405D8"/>
    <w:rsid w:val="00B75FF4"/>
    <w:rsid w:val="00BA5B55"/>
    <w:rsid w:val="00D31A04"/>
    <w:rsid w:val="00D50BC8"/>
    <w:rsid w:val="00D938E7"/>
    <w:rsid w:val="00DF3B35"/>
    <w:rsid w:val="00E149E9"/>
    <w:rsid w:val="00EA1CA0"/>
    <w:rsid w:val="00EC3BBD"/>
    <w:rsid w:val="00EE2C44"/>
    <w:rsid w:val="00FC4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78714A08"/>
  <w15:chartTrackingRefBased/>
  <w15:docId w15:val="{F85BD8DF-2587-42D1-A726-AF3C51361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4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432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34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unhideWhenUsed/>
    <w:rsid w:val="007340F6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A71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71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71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71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716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50B68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86603F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660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603F"/>
  </w:style>
  <w:style w:type="paragraph" w:styleId="Footer">
    <w:name w:val="footer"/>
    <w:basedOn w:val="Normal"/>
    <w:link w:val="FooterChar"/>
    <w:uiPriority w:val="99"/>
    <w:unhideWhenUsed/>
    <w:rsid w:val="008660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603F"/>
  </w:style>
  <w:style w:type="character" w:styleId="UnresolvedMention">
    <w:name w:val="Unresolved Mention"/>
    <w:basedOn w:val="DefaultParagraphFont"/>
    <w:uiPriority w:val="99"/>
    <w:semiHidden/>
    <w:unhideWhenUsed/>
    <w:rsid w:val="00EC3BBD"/>
    <w:rPr>
      <w:color w:val="605E5C"/>
      <w:shd w:val="clear" w:color="auto" w:fill="E1DFDD"/>
    </w:rPr>
  </w:style>
  <w:style w:type="paragraph" w:styleId="TOC2">
    <w:name w:val="toc 2"/>
    <w:basedOn w:val="Normal"/>
    <w:uiPriority w:val="39"/>
    <w:qFormat/>
    <w:rsid w:val="004A2B87"/>
    <w:pPr>
      <w:widowControl w:val="0"/>
      <w:autoSpaceDE w:val="0"/>
      <w:autoSpaceDN w:val="0"/>
      <w:spacing w:before="82" w:after="0" w:line="240" w:lineRule="auto"/>
      <w:ind w:left="746" w:hanging="386"/>
    </w:pPr>
    <w:rPr>
      <w:rFonts w:ascii="Calibri" w:eastAsia="Calibri" w:hAnsi="Calibri" w:cs="Calibri"/>
      <w:lang w:eastAsia="hr-HR" w:bidi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81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rukturnifondovi.hr/eu-fondovi/esi-fondovi-2014-2020/op-konkurentnost-i-kohezija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trukturnifondovi.hr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planoporavka.gov.hr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670</Words>
  <Characters>3823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 Baričević</dc:creator>
  <cp:keywords/>
  <dc:description/>
  <cp:lastModifiedBy>Crnkovic, Dena</cp:lastModifiedBy>
  <cp:revision>2</cp:revision>
  <dcterms:created xsi:type="dcterms:W3CDTF">2022-02-21T13:21:00Z</dcterms:created>
  <dcterms:modified xsi:type="dcterms:W3CDTF">2022-02-21T13:21:00Z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2022-01-24T13:09:31Z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a630e1a0-0835-4c5b-b28e-be9ae301513f</vt:lpwstr>
  </property>
  <property fmtid="{D5CDD505-2E9C-101B-9397-08002B2CF9AE}" pid="8" name="MSIP_Label_ea60d57e-af5b-4752-ac57-3e4f28ca11dc_ContentBits">
    <vt:lpwstr>0</vt:lpwstr>
  </property>
</Properties>
</file>