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i/>
          <w:iCs/>
          <w:smallCaps/>
          <w:color w:val="575F6D" w:themeColor="text2"/>
          <w:spacing w:val="5"/>
          <w:sz w:val="24"/>
          <w:szCs w:val="24"/>
        </w:rPr>
        <w:id w:val="-689369987"/>
        <w:docPartObj>
          <w:docPartGallery w:val="Cover Pages"/>
          <w:docPartUnique/>
        </w:docPartObj>
      </w:sdtPr>
      <w:sdtEndPr/>
      <w:sdtContent>
        <w:p w:rsidR="00715134" w:rsidRDefault="00715134">
          <w:pPr>
            <w:rPr>
              <w:i/>
              <w:iCs/>
              <w:smallCaps/>
              <w:noProof/>
              <w:color w:val="575F6D" w:themeColor="text2"/>
              <w:spacing w:val="5"/>
              <w:sz w:val="24"/>
              <w:szCs w:val="24"/>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6894"/>
          </w:tblGrid>
          <w:tr w:rsidR="00715134" w:rsidTr="00BE3569">
            <w:tc>
              <w:tcPr>
                <w:tcW w:w="7672" w:type="dxa"/>
                <w:tcMar>
                  <w:top w:w="216" w:type="dxa"/>
                  <w:left w:w="115" w:type="dxa"/>
                  <w:bottom w:w="216" w:type="dxa"/>
                  <w:right w:w="115" w:type="dxa"/>
                </w:tcMar>
              </w:tcPr>
              <w:p w:rsidR="00715134" w:rsidRPr="0057652A" w:rsidRDefault="00715134" w:rsidP="00BE3569">
                <w:pPr>
                  <w:pStyle w:val="Bezproreda"/>
                  <w:rPr>
                    <w:rFonts w:ascii="Cambria" w:eastAsia="Times New Roman" w:hAnsi="Cambria"/>
                    <w:b/>
                    <w:sz w:val="28"/>
                    <w:szCs w:val="28"/>
                  </w:rPr>
                </w:pPr>
                <w:r w:rsidRPr="0057652A">
                  <w:rPr>
                    <w:rFonts w:ascii="Cambria" w:eastAsia="Times New Roman" w:hAnsi="Cambria"/>
                    <w:b/>
                    <w:sz w:val="28"/>
                    <w:szCs w:val="28"/>
                  </w:rPr>
                  <w:t xml:space="preserve">DJEČJI VRTIĆ ISKRICA </w:t>
                </w:r>
              </w:p>
              <w:p w:rsidR="00715134" w:rsidRPr="005336D1" w:rsidRDefault="00715134" w:rsidP="00BE3569">
                <w:pPr>
                  <w:pStyle w:val="Bezproreda"/>
                  <w:rPr>
                    <w:rFonts w:ascii="Cambria" w:eastAsia="Times New Roman" w:hAnsi="Cambria"/>
                  </w:rPr>
                </w:pPr>
                <w:r w:rsidRPr="005336D1">
                  <w:rPr>
                    <w:rFonts w:ascii="Cambria" w:eastAsia="Times New Roman" w:hAnsi="Cambria"/>
                  </w:rPr>
                  <w:t>Ante Starčevića 1, Lipovljani</w:t>
                </w:r>
              </w:p>
              <w:p w:rsidR="00715134" w:rsidRDefault="00715134" w:rsidP="00BE3569">
                <w:pPr>
                  <w:pStyle w:val="Bezproreda"/>
                  <w:rPr>
                    <w:rFonts w:ascii="Cambria" w:eastAsia="Times New Roman" w:hAnsi="Cambria"/>
                    <w:sz w:val="28"/>
                    <w:szCs w:val="28"/>
                  </w:rPr>
                </w:pPr>
              </w:p>
              <w:tbl>
                <w:tblPr>
                  <w:tblW w:w="2960" w:type="dxa"/>
                  <w:tblLook w:val="04A0" w:firstRow="1" w:lastRow="0" w:firstColumn="1" w:lastColumn="0" w:noHBand="0" w:noVBand="1"/>
                </w:tblPr>
                <w:tblGrid>
                  <w:gridCol w:w="1380"/>
                  <w:gridCol w:w="1580"/>
                </w:tblGrid>
                <w:tr w:rsidR="00715134" w:rsidRPr="00694A05" w:rsidTr="00BE3569">
                  <w:trPr>
                    <w:trHeight w:val="300"/>
                  </w:trPr>
                  <w:tc>
                    <w:tcPr>
                      <w:tcW w:w="1380" w:type="dxa"/>
                      <w:tcBorders>
                        <w:top w:val="nil"/>
                        <w:left w:val="nil"/>
                        <w:bottom w:val="nil"/>
                        <w:right w:val="nil"/>
                      </w:tcBorders>
                      <w:shd w:val="clear" w:color="auto" w:fill="auto"/>
                      <w:noWrap/>
                      <w:vAlign w:val="center"/>
                      <w:hideMark/>
                    </w:tcPr>
                    <w:p w:rsidR="00715134" w:rsidRPr="00694A05" w:rsidRDefault="00715134" w:rsidP="00344C8D">
                      <w:pPr>
                        <w:framePr w:hSpace="187" w:wrap="around" w:hAnchor="margin" w:xAlign="center" w:y="2881"/>
                        <w:spacing w:after="0" w:line="240" w:lineRule="auto"/>
                        <w:jc w:val="right"/>
                        <w:rPr>
                          <w:rFonts w:ascii="Arial" w:eastAsia="Times New Roman" w:hAnsi="Arial" w:cs="Arial"/>
                          <w:b/>
                          <w:bCs/>
                          <w:color w:val="595959"/>
                          <w:sz w:val="16"/>
                          <w:szCs w:val="16"/>
                        </w:rPr>
                      </w:pPr>
                      <w:r w:rsidRPr="00694A05">
                        <w:rPr>
                          <w:rFonts w:ascii="Arial" w:eastAsia="Times New Roman" w:hAnsi="Arial" w:cs="Arial"/>
                          <w:b/>
                          <w:bCs/>
                          <w:color w:val="595959"/>
                          <w:sz w:val="16"/>
                          <w:szCs w:val="16"/>
                        </w:rPr>
                        <w:t>Broj RKP-a:</w:t>
                      </w:r>
                    </w:p>
                  </w:tc>
                  <w:tc>
                    <w:tcPr>
                      <w:tcW w:w="1580" w:type="dxa"/>
                      <w:tcBorders>
                        <w:top w:val="nil"/>
                        <w:left w:val="nil"/>
                        <w:bottom w:val="nil"/>
                        <w:right w:val="nil"/>
                      </w:tcBorders>
                      <w:shd w:val="pct25" w:color="C0C0C0" w:fill="auto"/>
                      <w:noWrap/>
                      <w:vAlign w:val="center"/>
                      <w:hideMark/>
                    </w:tcPr>
                    <w:p w:rsidR="00715134" w:rsidRPr="00694A05" w:rsidRDefault="00715134" w:rsidP="00344C8D">
                      <w:pPr>
                        <w:framePr w:hSpace="187" w:wrap="around" w:hAnchor="margin" w:xAlign="center" w:y="2881"/>
                        <w:spacing w:after="0" w:line="240" w:lineRule="auto"/>
                        <w:rPr>
                          <w:rFonts w:ascii="Arial" w:eastAsia="Times New Roman" w:hAnsi="Arial" w:cs="Arial"/>
                          <w:b/>
                          <w:bCs/>
                          <w:color w:val="595959"/>
                        </w:rPr>
                      </w:pPr>
                      <w:r w:rsidRPr="00694A05">
                        <w:rPr>
                          <w:rFonts w:ascii="Arial" w:eastAsia="Times New Roman" w:hAnsi="Arial" w:cs="Arial"/>
                          <w:b/>
                          <w:bCs/>
                          <w:color w:val="595959"/>
                        </w:rPr>
                        <w:t>38358</w:t>
                      </w:r>
                    </w:p>
                  </w:tc>
                </w:tr>
                <w:tr w:rsidR="00715134" w:rsidRPr="00694A05" w:rsidTr="00BE3569">
                  <w:trPr>
                    <w:trHeight w:val="300"/>
                  </w:trPr>
                  <w:tc>
                    <w:tcPr>
                      <w:tcW w:w="1380" w:type="dxa"/>
                      <w:tcBorders>
                        <w:top w:val="nil"/>
                        <w:left w:val="nil"/>
                        <w:bottom w:val="nil"/>
                        <w:right w:val="nil"/>
                      </w:tcBorders>
                      <w:shd w:val="clear" w:color="auto" w:fill="auto"/>
                      <w:noWrap/>
                      <w:vAlign w:val="center"/>
                      <w:hideMark/>
                    </w:tcPr>
                    <w:p w:rsidR="00715134" w:rsidRPr="00694A05" w:rsidRDefault="00715134" w:rsidP="00344C8D">
                      <w:pPr>
                        <w:framePr w:hSpace="187" w:wrap="around" w:hAnchor="margin" w:xAlign="center" w:y="2881"/>
                        <w:spacing w:after="0" w:line="240" w:lineRule="auto"/>
                        <w:jc w:val="right"/>
                        <w:rPr>
                          <w:rFonts w:ascii="Arial" w:eastAsia="Times New Roman" w:hAnsi="Arial" w:cs="Arial"/>
                          <w:b/>
                          <w:bCs/>
                          <w:color w:val="595959"/>
                          <w:sz w:val="16"/>
                          <w:szCs w:val="16"/>
                        </w:rPr>
                      </w:pPr>
                      <w:r w:rsidRPr="00694A05">
                        <w:rPr>
                          <w:rFonts w:ascii="Arial" w:eastAsia="Times New Roman" w:hAnsi="Arial" w:cs="Arial"/>
                          <w:b/>
                          <w:bCs/>
                          <w:color w:val="595959"/>
                          <w:sz w:val="16"/>
                          <w:szCs w:val="16"/>
                        </w:rPr>
                        <w:t>Matični broj:</w:t>
                      </w:r>
                    </w:p>
                  </w:tc>
                  <w:tc>
                    <w:tcPr>
                      <w:tcW w:w="1580" w:type="dxa"/>
                      <w:tcBorders>
                        <w:top w:val="nil"/>
                        <w:left w:val="nil"/>
                        <w:bottom w:val="nil"/>
                        <w:right w:val="nil"/>
                      </w:tcBorders>
                      <w:shd w:val="pct25" w:color="C0C0C0" w:fill="auto"/>
                      <w:noWrap/>
                      <w:vAlign w:val="center"/>
                      <w:hideMark/>
                    </w:tcPr>
                    <w:p w:rsidR="00715134" w:rsidRPr="00694A05" w:rsidRDefault="00715134" w:rsidP="00344C8D">
                      <w:pPr>
                        <w:framePr w:hSpace="187" w:wrap="around" w:hAnchor="margin" w:xAlign="center" w:y="2881"/>
                        <w:spacing w:after="0" w:line="240" w:lineRule="auto"/>
                        <w:rPr>
                          <w:rFonts w:ascii="Arial" w:eastAsia="Times New Roman" w:hAnsi="Arial" w:cs="Arial"/>
                          <w:b/>
                          <w:bCs/>
                          <w:color w:val="595959"/>
                        </w:rPr>
                      </w:pPr>
                      <w:r w:rsidRPr="00694A05">
                        <w:rPr>
                          <w:rFonts w:ascii="Arial" w:eastAsia="Times New Roman" w:hAnsi="Arial" w:cs="Arial"/>
                          <w:b/>
                          <w:bCs/>
                          <w:color w:val="595959"/>
                        </w:rPr>
                        <w:t>01343980</w:t>
                      </w:r>
                    </w:p>
                  </w:tc>
                </w:tr>
                <w:tr w:rsidR="00715134" w:rsidRPr="00694A05" w:rsidTr="00BE3569">
                  <w:trPr>
                    <w:trHeight w:val="300"/>
                  </w:trPr>
                  <w:tc>
                    <w:tcPr>
                      <w:tcW w:w="1380" w:type="dxa"/>
                      <w:tcBorders>
                        <w:top w:val="nil"/>
                        <w:left w:val="nil"/>
                        <w:bottom w:val="nil"/>
                        <w:right w:val="nil"/>
                      </w:tcBorders>
                      <w:shd w:val="clear" w:color="auto" w:fill="auto"/>
                      <w:noWrap/>
                      <w:vAlign w:val="center"/>
                      <w:hideMark/>
                    </w:tcPr>
                    <w:p w:rsidR="00715134" w:rsidRPr="00694A05" w:rsidRDefault="00715134" w:rsidP="00344C8D">
                      <w:pPr>
                        <w:framePr w:hSpace="187" w:wrap="around" w:hAnchor="margin" w:xAlign="center" w:y="2881"/>
                        <w:spacing w:after="0" w:line="240" w:lineRule="auto"/>
                        <w:jc w:val="right"/>
                        <w:rPr>
                          <w:rFonts w:ascii="Arial" w:eastAsia="Times New Roman" w:hAnsi="Arial" w:cs="Arial"/>
                          <w:b/>
                          <w:bCs/>
                          <w:color w:val="595959"/>
                          <w:sz w:val="16"/>
                          <w:szCs w:val="16"/>
                        </w:rPr>
                      </w:pPr>
                      <w:r w:rsidRPr="00694A05">
                        <w:rPr>
                          <w:rFonts w:ascii="Arial" w:eastAsia="Times New Roman" w:hAnsi="Arial" w:cs="Arial"/>
                          <w:b/>
                          <w:bCs/>
                          <w:color w:val="595959"/>
                          <w:sz w:val="16"/>
                          <w:szCs w:val="16"/>
                        </w:rPr>
                        <w:t>OIB:</w:t>
                      </w:r>
                    </w:p>
                  </w:tc>
                  <w:tc>
                    <w:tcPr>
                      <w:tcW w:w="1580" w:type="dxa"/>
                      <w:tcBorders>
                        <w:top w:val="nil"/>
                        <w:left w:val="nil"/>
                        <w:bottom w:val="nil"/>
                        <w:right w:val="nil"/>
                      </w:tcBorders>
                      <w:shd w:val="pct25" w:color="C0C0C0" w:fill="auto"/>
                      <w:noWrap/>
                      <w:vAlign w:val="center"/>
                      <w:hideMark/>
                    </w:tcPr>
                    <w:p w:rsidR="00715134" w:rsidRPr="00694A05" w:rsidRDefault="00715134" w:rsidP="00344C8D">
                      <w:pPr>
                        <w:framePr w:hSpace="187" w:wrap="around" w:hAnchor="margin" w:xAlign="center" w:y="2881"/>
                        <w:spacing w:after="0" w:line="240" w:lineRule="auto"/>
                        <w:rPr>
                          <w:rFonts w:ascii="Arial" w:eastAsia="Times New Roman" w:hAnsi="Arial" w:cs="Arial"/>
                          <w:b/>
                          <w:bCs/>
                          <w:color w:val="595959"/>
                        </w:rPr>
                      </w:pPr>
                      <w:r w:rsidRPr="00694A05">
                        <w:rPr>
                          <w:rFonts w:ascii="Arial" w:eastAsia="Times New Roman" w:hAnsi="Arial" w:cs="Arial"/>
                          <w:b/>
                          <w:bCs/>
                          <w:color w:val="595959"/>
                        </w:rPr>
                        <w:t>44603469381</w:t>
                      </w:r>
                    </w:p>
                  </w:tc>
                </w:tr>
                <w:tr w:rsidR="00715134" w:rsidRPr="00694A05" w:rsidTr="00BE3569">
                  <w:trPr>
                    <w:trHeight w:val="300"/>
                  </w:trPr>
                  <w:tc>
                    <w:tcPr>
                      <w:tcW w:w="1380" w:type="dxa"/>
                      <w:tcBorders>
                        <w:top w:val="nil"/>
                        <w:left w:val="nil"/>
                        <w:bottom w:val="nil"/>
                        <w:right w:val="nil"/>
                      </w:tcBorders>
                      <w:shd w:val="clear" w:color="auto" w:fill="auto"/>
                      <w:noWrap/>
                      <w:vAlign w:val="center"/>
                      <w:hideMark/>
                    </w:tcPr>
                    <w:p w:rsidR="00715134" w:rsidRPr="00694A05" w:rsidRDefault="00715134" w:rsidP="00344C8D">
                      <w:pPr>
                        <w:framePr w:hSpace="187" w:wrap="around" w:hAnchor="margin" w:xAlign="center" w:y="2881"/>
                        <w:spacing w:after="0" w:line="240" w:lineRule="auto"/>
                        <w:jc w:val="right"/>
                        <w:rPr>
                          <w:rFonts w:ascii="Arial" w:eastAsia="Times New Roman" w:hAnsi="Arial" w:cs="Arial"/>
                          <w:b/>
                          <w:bCs/>
                          <w:color w:val="595959"/>
                          <w:sz w:val="16"/>
                          <w:szCs w:val="16"/>
                        </w:rPr>
                      </w:pPr>
                      <w:r w:rsidRPr="00694A05">
                        <w:rPr>
                          <w:rFonts w:ascii="Arial" w:eastAsia="Times New Roman" w:hAnsi="Arial" w:cs="Arial"/>
                          <w:b/>
                          <w:bCs/>
                          <w:color w:val="595959"/>
                          <w:sz w:val="16"/>
                          <w:szCs w:val="16"/>
                        </w:rPr>
                        <w:t>Razina:</w:t>
                      </w:r>
                    </w:p>
                  </w:tc>
                  <w:tc>
                    <w:tcPr>
                      <w:tcW w:w="1580" w:type="dxa"/>
                      <w:tcBorders>
                        <w:top w:val="nil"/>
                        <w:left w:val="nil"/>
                        <w:bottom w:val="nil"/>
                        <w:right w:val="nil"/>
                      </w:tcBorders>
                      <w:shd w:val="pct25" w:color="C0C0C0" w:fill="auto"/>
                      <w:noWrap/>
                      <w:vAlign w:val="center"/>
                      <w:hideMark/>
                    </w:tcPr>
                    <w:p w:rsidR="00715134" w:rsidRPr="00694A05" w:rsidRDefault="00715134" w:rsidP="00344C8D">
                      <w:pPr>
                        <w:framePr w:hSpace="187" w:wrap="around" w:hAnchor="margin" w:xAlign="center" w:y="2881"/>
                        <w:spacing w:after="0" w:line="240" w:lineRule="auto"/>
                        <w:rPr>
                          <w:rFonts w:ascii="Arial" w:eastAsia="Times New Roman" w:hAnsi="Arial" w:cs="Arial"/>
                          <w:b/>
                          <w:bCs/>
                          <w:color w:val="595959"/>
                        </w:rPr>
                      </w:pPr>
                      <w:r w:rsidRPr="00694A05">
                        <w:rPr>
                          <w:rFonts w:ascii="Arial" w:eastAsia="Times New Roman" w:hAnsi="Arial" w:cs="Arial"/>
                          <w:b/>
                          <w:bCs/>
                          <w:color w:val="595959"/>
                        </w:rPr>
                        <w:t>21</w:t>
                      </w:r>
                    </w:p>
                  </w:tc>
                </w:tr>
                <w:tr w:rsidR="00715134" w:rsidRPr="00694A05" w:rsidTr="00BE3569">
                  <w:trPr>
                    <w:trHeight w:val="300"/>
                  </w:trPr>
                  <w:tc>
                    <w:tcPr>
                      <w:tcW w:w="1380" w:type="dxa"/>
                      <w:tcBorders>
                        <w:top w:val="nil"/>
                        <w:left w:val="nil"/>
                        <w:bottom w:val="nil"/>
                        <w:right w:val="nil"/>
                      </w:tcBorders>
                      <w:shd w:val="clear" w:color="auto" w:fill="auto"/>
                      <w:noWrap/>
                      <w:vAlign w:val="center"/>
                      <w:hideMark/>
                    </w:tcPr>
                    <w:p w:rsidR="00715134" w:rsidRPr="00694A05" w:rsidRDefault="00715134" w:rsidP="00344C8D">
                      <w:pPr>
                        <w:framePr w:hSpace="187" w:wrap="around" w:hAnchor="margin" w:xAlign="center" w:y="2881"/>
                        <w:spacing w:after="0" w:line="240" w:lineRule="auto"/>
                        <w:jc w:val="right"/>
                        <w:rPr>
                          <w:rFonts w:ascii="Arial" w:eastAsia="Times New Roman" w:hAnsi="Arial" w:cs="Arial"/>
                          <w:b/>
                          <w:bCs/>
                          <w:color w:val="595959"/>
                          <w:sz w:val="16"/>
                          <w:szCs w:val="16"/>
                        </w:rPr>
                      </w:pPr>
                      <w:r w:rsidRPr="00694A05">
                        <w:rPr>
                          <w:rFonts w:ascii="Arial" w:eastAsia="Times New Roman" w:hAnsi="Arial" w:cs="Arial"/>
                          <w:b/>
                          <w:bCs/>
                          <w:color w:val="595959"/>
                          <w:sz w:val="16"/>
                          <w:szCs w:val="16"/>
                        </w:rPr>
                        <w:t>Šifra djelatnosti:</w:t>
                      </w:r>
                    </w:p>
                  </w:tc>
                  <w:tc>
                    <w:tcPr>
                      <w:tcW w:w="1580" w:type="dxa"/>
                      <w:tcBorders>
                        <w:top w:val="nil"/>
                        <w:left w:val="nil"/>
                        <w:bottom w:val="nil"/>
                        <w:right w:val="nil"/>
                      </w:tcBorders>
                      <w:shd w:val="pct25" w:color="C0C0C0" w:fill="auto"/>
                      <w:noWrap/>
                      <w:vAlign w:val="center"/>
                      <w:hideMark/>
                    </w:tcPr>
                    <w:p w:rsidR="00715134" w:rsidRPr="00694A05" w:rsidRDefault="00715134" w:rsidP="00344C8D">
                      <w:pPr>
                        <w:framePr w:hSpace="187" w:wrap="around" w:hAnchor="margin" w:xAlign="center" w:y="2881"/>
                        <w:spacing w:after="0" w:line="240" w:lineRule="auto"/>
                        <w:rPr>
                          <w:rFonts w:ascii="Arial" w:eastAsia="Times New Roman" w:hAnsi="Arial" w:cs="Arial"/>
                          <w:b/>
                          <w:bCs/>
                          <w:color w:val="595959"/>
                        </w:rPr>
                      </w:pPr>
                      <w:r w:rsidRPr="00694A05">
                        <w:rPr>
                          <w:rFonts w:ascii="Arial" w:eastAsia="Times New Roman" w:hAnsi="Arial" w:cs="Arial"/>
                          <w:b/>
                          <w:bCs/>
                          <w:color w:val="595959"/>
                        </w:rPr>
                        <w:t>8510</w:t>
                      </w:r>
                    </w:p>
                  </w:tc>
                </w:tr>
                <w:tr w:rsidR="00715134" w:rsidRPr="00694A05" w:rsidTr="00BE3569">
                  <w:trPr>
                    <w:trHeight w:val="300"/>
                  </w:trPr>
                  <w:tc>
                    <w:tcPr>
                      <w:tcW w:w="1380" w:type="dxa"/>
                      <w:tcBorders>
                        <w:top w:val="nil"/>
                        <w:left w:val="nil"/>
                        <w:bottom w:val="nil"/>
                        <w:right w:val="nil"/>
                      </w:tcBorders>
                      <w:shd w:val="clear" w:color="auto" w:fill="auto"/>
                      <w:noWrap/>
                      <w:vAlign w:val="center"/>
                      <w:hideMark/>
                    </w:tcPr>
                    <w:p w:rsidR="00715134" w:rsidRPr="00694A05" w:rsidRDefault="00715134" w:rsidP="00344C8D">
                      <w:pPr>
                        <w:framePr w:hSpace="187" w:wrap="around" w:hAnchor="margin" w:xAlign="center" w:y="2881"/>
                        <w:spacing w:after="0" w:line="240" w:lineRule="auto"/>
                        <w:jc w:val="right"/>
                        <w:rPr>
                          <w:rFonts w:ascii="Arial" w:eastAsia="Times New Roman" w:hAnsi="Arial" w:cs="Arial"/>
                          <w:b/>
                          <w:bCs/>
                          <w:color w:val="595959"/>
                          <w:sz w:val="16"/>
                          <w:szCs w:val="16"/>
                        </w:rPr>
                      </w:pPr>
                      <w:r w:rsidRPr="00694A05">
                        <w:rPr>
                          <w:rFonts w:ascii="Arial" w:eastAsia="Times New Roman" w:hAnsi="Arial" w:cs="Arial"/>
                          <w:b/>
                          <w:bCs/>
                          <w:color w:val="595959"/>
                          <w:sz w:val="16"/>
                          <w:szCs w:val="16"/>
                        </w:rPr>
                        <w:t>Šifra grada/opć.:</w:t>
                      </w:r>
                    </w:p>
                  </w:tc>
                  <w:tc>
                    <w:tcPr>
                      <w:tcW w:w="1580" w:type="dxa"/>
                      <w:tcBorders>
                        <w:top w:val="nil"/>
                        <w:left w:val="nil"/>
                        <w:bottom w:val="nil"/>
                        <w:right w:val="nil"/>
                      </w:tcBorders>
                      <w:shd w:val="pct25" w:color="C0C0C0" w:fill="auto"/>
                      <w:noWrap/>
                      <w:vAlign w:val="center"/>
                      <w:hideMark/>
                    </w:tcPr>
                    <w:p w:rsidR="00715134" w:rsidRPr="00694A05" w:rsidRDefault="00715134" w:rsidP="00344C8D">
                      <w:pPr>
                        <w:framePr w:hSpace="187" w:wrap="around" w:hAnchor="margin" w:xAlign="center" w:y="2881"/>
                        <w:spacing w:after="0" w:line="240" w:lineRule="auto"/>
                        <w:rPr>
                          <w:rFonts w:ascii="Arial" w:eastAsia="Times New Roman" w:hAnsi="Arial" w:cs="Arial"/>
                          <w:b/>
                          <w:bCs/>
                          <w:color w:val="595959"/>
                        </w:rPr>
                      </w:pPr>
                      <w:r w:rsidRPr="00694A05">
                        <w:rPr>
                          <w:rFonts w:ascii="Arial" w:eastAsia="Times New Roman" w:hAnsi="Arial" w:cs="Arial"/>
                          <w:b/>
                          <w:bCs/>
                          <w:color w:val="595959"/>
                        </w:rPr>
                        <w:t>232</w:t>
                      </w:r>
                    </w:p>
                  </w:tc>
                </w:tr>
              </w:tbl>
              <w:p w:rsidR="00715134" w:rsidRDefault="00715134" w:rsidP="00BE3569">
                <w:pPr>
                  <w:pStyle w:val="Bezproreda"/>
                  <w:rPr>
                    <w:rFonts w:ascii="Cambria" w:eastAsia="Times New Roman" w:hAnsi="Cambria"/>
                  </w:rPr>
                </w:pPr>
              </w:p>
            </w:tc>
          </w:tr>
          <w:tr w:rsidR="00715134" w:rsidTr="00BE3569">
            <w:tc>
              <w:tcPr>
                <w:tcW w:w="7672" w:type="dxa"/>
              </w:tcPr>
              <w:p w:rsidR="00715134" w:rsidRPr="00E57CD0" w:rsidRDefault="00715134" w:rsidP="004D0CC3">
                <w:pPr>
                  <w:pStyle w:val="Bezproreda"/>
                  <w:rPr>
                    <w:rFonts w:ascii="Cambria" w:eastAsia="Times New Roman" w:hAnsi="Cambria"/>
                    <w:color w:val="4F81BD"/>
                    <w:sz w:val="28"/>
                    <w:szCs w:val="28"/>
                  </w:rPr>
                </w:pPr>
                <w:r w:rsidRPr="00E57CD0">
                  <w:rPr>
                    <w:rFonts w:ascii="Cambria" w:eastAsia="Times New Roman" w:hAnsi="Cambria"/>
                    <w:color w:val="4F81BD"/>
                    <w:sz w:val="28"/>
                    <w:szCs w:val="28"/>
                  </w:rPr>
                  <w:t xml:space="preserve">Bilješke uz godišnji izvještaj </w:t>
                </w:r>
                <w:r w:rsidR="00E57CD0" w:rsidRPr="00E57CD0">
                  <w:rPr>
                    <w:rFonts w:ascii="Cambria" w:eastAsia="Times New Roman" w:hAnsi="Cambria"/>
                    <w:color w:val="4F81BD"/>
                    <w:sz w:val="28"/>
                    <w:szCs w:val="28"/>
                  </w:rPr>
                  <w:t>2020.g.</w:t>
                </w:r>
              </w:p>
            </w:tc>
          </w:tr>
          <w:tr w:rsidR="00715134" w:rsidTr="00BE3569">
            <w:tc>
              <w:tcPr>
                <w:tcW w:w="7672" w:type="dxa"/>
                <w:tcMar>
                  <w:top w:w="216" w:type="dxa"/>
                  <w:left w:w="115" w:type="dxa"/>
                  <w:bottom w:w="216" w:type="dxa"/>
                  <w:right w:w="115" w:type="dxa"/>
                </w:tcMar>
              </w:tcPr>
              <w:p w:rsidR="00715134" w:rsidRDefault="00715134" w:rsidP="00BE3569">
                <w:pPr>
                  <w:pStyle w:val="Bezproreda"/>
                  <w:rPr>
                    <w:rFonts w:ascii="Cambria" w:eastAsia="Times New Roman" w:hAnsi="Cambria"/>
                  </w:rPr>
                </w:pPr>
                <w:r>
                  <w:rPr>
                    <w:rFonts w:ascii="Cambria" w:eastAsia="Times New Roman" w:hAnsi="Cambria"/>
                  </w:rPr>
                  <w:t xml:space="preserve"> za razdoblje od 1.1.-3</w:t>
                </w:r>
                <w:r w:rsidR="004D0CC3">
                  <w:rPr>
                    <w:rFonts w:ascii="Cambria" w:eastAsia="Times New Roman" w:hAnsi="Cambria"/>
                  </w:rPr>
                  <w:t>1</w:t>
                </w:r>
                <w:r>
                  <w:rPr>
                    <w:rFonts w:ascii="Cambria" w:eastAsia="Times New Roman" w:hAnsi="Cambria"/>
                  </w:rPr>
                  <w:t>.</w:t>
                </w:r>
                <w:r w:rsidR="004D0CC3">
                  <w:rPr>
                    <w:rFonts w:ascii="Cambria" w:eastAsia="Times New Roman" w:hAnsi="Cambria"/>
                  </w:rPr>
                  <w:t>12</w:t>
                </w:r>
                <w:r w:rsidR="00871E76">
                  <w:rPr>
                    <w:rFonts w:ascii="Cambria" w:eastAsia="Times New Roman" w:hAnsi="Cambria"/>
                  </w:rPr>
                  <w:t>.20</w:t>
                </w:r>
                <w:r w:rsidR="00E57CD0">
                  <w:rPr>
                    <w:rFonts w:ascii="Cambria" w:eastAsia="Times New Roman" w:hAnsi="Cambria"/>
                  </w:rPr>
                  <w:t>20</w:t>
                </w:r>
                <w:r w:rsidR="00871E76">
                  <w:rPr>
                    <w:rFonts w:ascii="Cambria" w:eastAsia="Times New Roman" w:hAnsi="Cambria"/>
                  </w:rPr>
                  <w:t>.g.</w:t>
                </w:r>
              </w:p>
              <w:p w:rsidR="00715134" w:rsidRDefault="00715134" w:rsidP="00BE3569">
                <w:pPr>
                  <w:pStyle w:val="Bezproreda"/>
                  <w:rPr>
                    <w:rFonts w:ascii="Cambria" w:eastAsia="Times New Roman" w:hAnsi="Cambria"/>
                  </w:rPr>
                </w:pPr>
              </w:p>
              <w:p w:rsidR="00715134" w:rsidRDefault="00715134" w:rsidP="00BE3569">
                <w:pPr>
                  <w:pStyle w:val="Bezproreda"/>
                  <w:rPr>
                    <w:rFonts w:ascii="Cambria" w:eastAsia="Times New Roman" w:hAnsi="Cambria"/>
                  </w:rPr>
                </w:pPr>
              </w:p>
              <w:p w:rsidR="00715134" w:rsidRDefault="00715134" w:rsidP="00715134">
                <w:pPr>
                  <w:pStyle w:val="Bezproreda"/>
                  <w:rPr>
                    <w:rFonts w:ascii="Cambria" w:eastAsia="Times New Roman" w:hAnsi="Cambria"/>
                  </w:rPr>
                </w:pPr>
              </w:p>
            </w:tc>
          </w:tr>
        </w:tbl>
        <w:p w:rsidR="00130662" w:rsidRDefault="00B43AFC">
          <w:pPr>
            <w:rPr>
              <w:i/>
              <w:iCs/>
              <w:color w:val="575F6D" w:themeColor="text2"/>
              <w:spacing w:val="5"/>
              <w:sz w:val="24"/>
              <w:szCs w:val="24"/>
            </w:rPr>
          </w:pPr>
          <w:r>
            <w:rPr>
              <w:i/>
              <w:iCs/>
              <w:smallCaps/>
              <w:noProof/>
              <w:color w:val="575F6D" w:themeColor="text2"/>
              <w:spacing w:val="5"/>
              <w:sz w:val="24"/>
              <w:szCs w:val="24"/>
            </w:rPr>
            <mc:AlternateContent>
              <mc:Choice Requires="wpg">
                <w:drawing>
                  <wp:anchor distT="0" distB="0" distL="114300" distR="114300" simplePos="0" relativeHeight="251707904" behindDoc="0" locked="0" layoutInCell="1" allowOverlap="1" wp14:editId="38DFFE89">
                    <wp:simplePos x="0" y="0"/>
                    <mc:AlternateContent>
                      <mc:Choice Requires="wp14">
                        <wp:positionH relativeFrom="page">
                          <wp14:pctPosHOffset>75000</wp14:pctPosHOffset>
                        </wp:positionH>
                      </mc:Choice>
                      <mc:Fallback>
                        <wp:positionH relativeFrom="page">
                          <wp:posOffset>5829300</wp:posOffset>
                        </wp:positionH>
                      </mc:Fallback>
                    </mc:AlternateContent>
                    <wp:positionV relativeFrom="page">
                      <wp:align>center</wp:align>
                    </wp:positionV>
                    <wp:extent cx="1773936" cy="10698480"/>
                    <wp:effectExtent l="0" t="0" r="17145" b="26670"/>
                    <wp:wrapNone/>
                    <wp:docPr id="1" name="Grupa 1"/>
                    <wp:cNvGraphicFramePr/>
                    <a:graphic xmlns:a="http://schemas.openxmlformats.org/drawingml/2006/main">
                      <a:graphicData uri="http://schemas.microsoft.com/office/word/2010/wordprocessingGroup">
                        <wpg:wgp>
                          <wpg:cNvGrpSpPr/>
                          <wpg:grpSpPr>
                            <a:xfrm>
                              <a:off x="0" y="0"/>
                              <a:ext cx="1773937" cy="10698480"/>
                              <a:chOff x="0" y="0"/>
                              <a:chExt cx="1774293" cy="10698480"/>
                            </a:xfrm>
                            <a:solidFill>
                              <a:schemeClr val="accent4">
                                <a:lumMod val="20000"/>
                                <a:lumOff val="80000"/>
                              </a:schemeClr>
                            </a:solidFill>
                          </wpg:grpSpPr>
                          <wpg:grpSp>
                            <wpg:cNvPr id="65" name="Group 77"/>
                            <wpg:cNvGrpSpPr>
                              <a:grpSpLocks/>
                            </wpg:cNvGrpSpPr>
                            <wpg:grpSpPr bwMode="auto">
                              <a:xfrm>
                                <a:off x="308919" y="0"/>
                                <a:ext cx="1465374" cy="10698480"/>
                                <a:chOff x="6022" y="8835"/>
                                <a:chExt cx="2310" cy="16114"/>
                              </a:xfrm>
                              <a:grpFill/>
                            </wpg:grpSpPr>
                            <wps:wsp>
                              <wps:cNvPr id="66" name="Rectangle 78"/>
                              <wps:cNvSpPr>
                                <a:spLocks noChangeArrowheads="1"/>
                              </wps:cNvSpPr>
                              <wps:spPr bwMode="auto">
                                <a:xfrm>
                                  <a:off x="6676" y="8835"/>
                                  <a:ext cx="1512" cy="16114"/>
                                </a:xfrm>
                                <a:prstGeom prst="rect">
                                  <a:avLst/>
                                </a:prstGeom>
                                <a:ln>
                                  <a:headEnd/>
                                  <a:tailEnd/>
                                </a:ln>
                                <a:extLst/>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ln>
                                  <a:headEnd/>
                                  <a:tailEnd/>
                                </a:ln>
                                <a:extLst/>
                              </wps:spPr>
                              <wps:style>
                                <a:lnRef idx="2">
                                  <a:schemeClr val="accent4"/>
                                </a:lnRef>
                                <a:fillRef idx="1">
                                  <a:schemeClr val="lt1"/>
                                </a:fillRef>
                                <a:effectRef idx="0">
                                  <a:schemeClr val="accent4"/>
                                </a:effectRef>
                                <a:fontRef idx="minor">
                                  <a:schemeClr val="dk1"/>
                                </a:fontRef>
                              </wps:style>
                              <wps:bodyPr/>
                            </wps:wsp>
                            <wps:wsp>
                              <wps:cNvPr id="68" name="AutoShape 80"/>
                              <wps:cNvCnPr>
                                <a:cxnSpLocks noChangeShapeType="1"/>
                              </wps:cNvCnPr>
                              <wps:spPr bwMode="auto">
                                <a:xfrm>
                                  <a:off x="8332" y="8835"/>
                                  <a:ext cx="0" cy="16111"/>
                                </a:xfrm>
                                <a:prstGeom prst="straightConnector1">
                                  <a:avLst/>
                                </a:prstGeom>
                                <a:ln>
                                  <a:headEnd/>
                                  <a:tailEnd/>
                                </a:ln>
                                <a:extLst/>
                              </wps:spPr>
                              <wps:style>
                                <a:lnRef idx="2">
                                  <a:schemeClr val="accent4"/>
                                </a:lnRef>
                                <a:fillRef idx="1">
                                  <a:schemeClr val="lt1"/>
                                </a:fillRef>
                                <a:effectRef idx="0">
                                  <a:schemeClr val="accent4"/>
                                </a:effectRef>
                                <a:fontRef idx="minor">
                                  <a:schemeClr val="dk1"/>
                                </a:fontRef>
                              </wps:style>
                              <wps:bodyPr/>
                            </wps:wsp>
                            <wps:wsp>
                              <wps:cNvPr id="69" name="AutoShape 81"/>
                              <wps:cNvCnPr>
                                <a:cxnSpLocks noChangeShapeType="1"/>
                              </wps:cNvCnPr>
                              <wps:spPr bwMode="auto">
                                <a:xfrm>
                                  <a:off x="6587" y="8835"/>
                                  <a:ext cx="0" cy="16114"/>
                                </a:xfrm>
                                <a:prstGeom prst="straightConnector1">
                                  <a:avLst/>
                                </a:prstGeom>
                                <a:ln>
                                  <a:headEnd/>
                                  <a:tailEnd/>
                                </a:ln>
                                <a:extLst/>
                              </wps:spPr>
                              <wps:style>
                                <a:lnRef idx="2">
                                  <a:schemeClr val="accent4"/>
                                </a:lnRef>
                                <a:fillRef idx="1">
                                  <a:schemeClr val="lt1"/>
                                </a:fillRef>
                                <a:effectRef idx="0">
                                  <a:schemeClr val="accent4"/>
                                </a:effectRef>
                                <a:fontRef idx="minor">
                                  <a:schemeClr val="dk1"/>
                                </a:fontRef>
                              </wps:style>
                              <wps:bodyPr/>
                            </wps:wsp>
                            <wps:wsp>
                              <wps:cNvPr id="70" name="AutoShape 82"/>
                              <wps:cNvCnPr>
                                <a:cxnSpLocks noChangeShapeType="1"/>
                              </wps:cNvCnPr>
                              <wps:spPr bwMode="auto">
                                <a:xfrm>
                                  <a:off x="6022" y="8835"/>
                                  <a:ext cx="0" cy="16109"/>
                                </a:xfrm>
                                <a:prstGeom prst="straightConnector1">
                                  <a:avLst/>
                                </a:prstGeom>
                                <a:ln>
                                  <a:headEnd/>
                                  <a:tailEnd/>
                                </a:ln>
                                <a:extLst/>
                              </wps:spPr>
                              <wps:style>
                                <a:lnRef idx="2">
                                  <a:schemeClr val="accent4"/>
                                </a:lnRef>
                                <a:fillRef idx="1">
                                  <a:schemeClr val="lt1"/>
                                </a:fillRef>
                                <a:effectRef idx="0">
                                  <a:schemeClr val="accent4"/>
                                </a:effectRef>
                                <a:fontRef idx="minor">
                                  <a:schemeClr val="dk1"/>
                                </a:fontRef>
                              </wps:style>
                              <wps:bodyPr/>
                            </wps:wsp>
                          </wpg:grpSp>
                          <wps:wsp>
                            <wps:cNvPr id="71" name="Oval 83"/>
                            <wps:cNvSpPr>
                              <a:spLocks noChangeArrowheads="1"/>
                            </wps:cNvSpPr>
                            <wps:spPr bwMode="auto">
                              <a:xfrm>
                                <a:off x="0" y="7945394"/>
                                <a:ext cx="1101885" cy="1071218"/>
                              </a:xfrm>
                              <a:prstGeom prst="ellipse">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ln>
                                <a:headEnd/>
                                <a:tailEnd/>
                              </a:ln>
                              <a:extLst/>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F39334E" id="Grupa 1" o:spid="_x0000_s1026" style="position:absolute;margin-left:0;margin-top:0;width:139.7pt;height:842.4pt;z-index:251707904;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W+8QA&#10;AADbAAAADwAAAGRycy9kb3ducmV2LnhtbESPQWvCQBSE7wX/w/IEL0U39hBKdBNEEIsIbVOh10f2&#10;mQ1m34bsGpN/3y0Uehxm5htmW4y2FQP1vnGsYL1KQBBXTjdcK7h8HZavIHxA1tg6JgUTeSjy2dMW&#10;M+0e/ElDGWoRIewzVGBC6DIpfWXIol+5jjh6V9dbDFH2tdQ9PiLctvIlSVJpseG4YLCjvaHqVt6t&#10;gvuZ1qd3c/qe9MeFO3OcnoehVGoxH3cbEIHG8B/+a79pBWkK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KlvvEAAAA2wAAAA8AAAAAAAAAAAAAAAAAmAIAAGRycy9k&#10;b3ducmV2LnhtbFBLBQYAAAAABAAEAPUAAACJAwAAAAA=&#10;" fillcolor="white [3201]" strokecolor="#f5cd2d [3207]" strokeweight="2p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hy8UAAADbAAAADwAAAGRycy9kb3ducmV2LnhtbESPMW/CMBSE90r8B+shsRWnDKFKMQhV&#10;BSVDhwIL21P8EkeNn0PsJml/fY1UqePp7r7TbXaTbcVAvW8cK3haJiCIS6cbrhVczofHZxA+IGts&#10;HZOCb/Kw284eNphpN/IHDadQiwhhn6ECE0KXSelLQxb90nXE0atcbzFE2ddS9zhGuG3lKklSabHh&#10;uGCwo1dD5efpyyooSnOsft4tH972VXJbFS693nKlFvNp/wIi0BT+w3/tXCtI1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khy8UAAADbAAAADwAAAAAAAAAA&#10;AAAAAAChAgAAZHJzL2Rvd25yZXYueG1sUEsFBgAAAAAEAAQA+QAAAJMDAAAAAA==&#10;" filled="t" fillcolor="white [3201]" strokecolor="#f5cd2d [3207]" strokeweight="2pt"/>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a1ucEAAADbAAAADwAAAGRycy9kb3ducmV2LnhtbERPu27CMBTdkfoP1q3UDZwyRCjFRBEq&#10;CAYGHku3q/gmjoivQ2wg5evxgMR4dN7zfLCtuFHvG8cKvicJCOLS6YZrBafjajwD4QOyxtYxKfgn&#10;D/niYzTHTLs77+l2CLWIIewzVGBC6DIpfWnIop+4jjhylesthgj7Wuoe7zHctnKaJKm02HBsMNjR&#10;0lB5Plytgm1p1tVjZ3n1W1TJZbp16d9lo9TX51D8gAg0hLf45d5oBWk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drW5wQAAANsAAAAPAAAAAAAAAAAAAAAA&#10;AKECAABkcnMvZG93bnJldi54bWxQSwUGAAAAAAQABAD5AAAAjwMAAAAA&#10;" filled="t" fillcolor="white [3201]" strokecolor="#f5cd2d [3207]" strokeweight="2pt"/>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oQIsUAAADbAAAADwAAAGRycy9kb3ducmV2LnhtbESPMW/CMBSE90r8B+shsRWnDBFNMQhV&#10;BSVDhwIL21P8EkeNn0PsJml/fY1UqePp7r7TbXaTbcVAvW8cK3haJiCIS6cbrhVczofHNQgfkDW2&#10;jknBN3nYbWcPG8y0G/mDhlOoRYSwz1CBCaHLpPSlIYt+6Tri6FWutxii7Gupexwj3LZylSSptNhw&#10;XDDY0auh8vP0ZRUUpTlWP++WD2/7KrmtCpdeb7lSi/m0fwERaAr/4b92rhWkz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oQIsUAAADbAAAADwAAAAAAAAAA&#10;AAAAAAChAgAAZHJzL2Rvd25yZXYueG1sUEsFBgAAAAAEAAQA+QAAAJMDAAAAAA==&#10;" filled="t" fillcolor="white [3201]" strokecolor="#f5cd2d [3207]" strokeweight="2pt"/>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kvYsEAAADbAAAADwAAAGRycy9kb3ducmV2LnhtbERPu27CMBTdkfoP1kXqBg4MFKU4EUIF&#10;wdCBx9LtKr6JI+LrEBtI+Xo8IDEenfci720jbtT52rGCyTgBQVw4XXOl4HRcj+YgfEDW2DgmBf/k&#10;Ic8+BgtMtbvznm6HUIkYwj5FBSaENpXSF4Ys+rFriSNXus5iiLCrpO7wHsNtI6dJMpMWa44NBlta&#10;GSrOh6tVsCvMpnz8Wl7/LMvkMt252d9lq9TnsF9+gwjUh7f45d5qBV9xffwSf4D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2S9iwQAAANsAAAAPAAAAAAAAAAAAAAAA&#10;AKECAABkcnMvZG93bnJldi54bWxQSwUGAAAAAAQABAD5AAAAjwMAAAAA&#10;" filled="t" fillcolor="white [3201]" strokecolor="#f5cd2d [3207]" strokeweight="2pt"/>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dLsUA&#10;AADbAAAADwAAAGRycy9kb3ducmV2LnhtbESPQWvCQBSE70L/w/IK3pqNCrZEV2kLitRTbat4e2Zf&#10;sqHZtyG7mvTfuwXB4zAz3zDzZW9rcaHWV44VjJIUBHHudMWlgu+v1dMLCB+QNdaOScEfeVguHgZz&#10;zLTr+JMuu1CKCGGfoQITQpNJ6XNDFn3iGuLoFa61GKJsS6lb7CLc1nKcplNpseK4YLChd0P57+5s&#10;FRymx7fqVHSF3Xbm5/wh95N8v1Zq+Ni/zkAE6sM9fGtvtILnE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R0uxQAAANsAAAAPAAAAAAAAAAAAAAAAAJgCAABkcnMv&#10;ZG93bnJldi54bWxQSwUGAAAAAAQABAD1AAAAigMAAAAA&#10;" fillcolor="white [3201]" strokecolor="#f5cd2d [3207]" strokeweight="2pt"/>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i/cMA&#10;AADbAAAADwAAAGRycy9kb3ducmV2LnhtbESPT4vCMBTE78J+h/AWvGm6sv6hGkWEBT3JWkGPz+bZ&#10;lm1eShJt/fZGWPA4zMxvmMWqM7W4k/OVZQVfwwQEcW51xYWCY/YzmIHwAVljbZkUPMjDavnRW2Cq&#10;bcu/dD+EQkQI+xQVlCE0qZQ+L8mgH9qGOHpX6wyGKF0htcM2wk0tR0kykQYrjgslNrQpKf873IyC&#10;7W6djMPm8nBytr9l3609WXdWqv/ZrecgAnXhHf5vb7WC6Qh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Bi/cMAAADbAAAADwAAAAAAAAAAAAAAAACYAgAAZHJzL2Rv&#10;d25yZXYueG1sUEsFBgAAAAAEAAQA9QAAAIgDAAAAAA==&#10;" fillcolor="white [3201]" strokecolor="#f5cd2d [3207]" strokeweight="2pt"/>
                    <w10:wrap anchorx="page" anchory="page"/>
                  </v:group>
                </w:pict>
              </mc:Fallback>
            </mc:AlternateContent>
          </w:r>
          <w:r>
            <w:rPr>
              <w:rFonts w:ascii="Century Schoolbook" w:hAnsi="Century Schoolbook"/>
              <w:i/>
              <w:iCs/>
              <w:smallCaps/>
              <w:noProof/>
              <w:color w:val="4F271C"/>
              <w:spacing w:val="5"/>
              <w:sz w:val="32"/>
              <w:szCs w:val="32"/>
            </w:rPr>
            <mc:AlternateContent>
              <mc:Choice Requires="wps">
                <w:drawing>
                  <wp:anchor distT="0" distB="0" distL="114300" distR="114300" simplePos="0" relativeHeight="251700736"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Pravoku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662" w:rsidRDefault="00954750">
                                <w:pPr>
                                  <w:spacing w:after="100"/>
                                  <w:rPr>
                                    <w:color w:val="E65B01" w:themeColor="accent1" w:themeShade="BF"/>
                                    <w:sz w:val="24"/>
                                    <w:szCs w:val="24"/>
                                  </w:rPr>
                                </w:pPr>
                                <w:sdt>
                                  <w:sdtPr>
                                    <w:rPr>
                                      <w:color w:val="E65B01" w:themeColor="accent1" w:themeShade="BF"/>
                                      <w:sz w:val="24"/>
                                      <w:szCs w:val="24"/>
                                    </w:rPr>
                                    <w:alias w:val="Autor"/>
                                    <w:id w:val="280430085"/>
                                    <w:showingPlcHdr/>
                                    <w:text/>
                                  </w:sdtPr>
                                  <w:sdtEndPr/>
                                  <w:sdtContent>
                                    <w:r w:rsidR="00715134">
                                      <w:rPr>
                                        <w:color w:val="E65B01" w:themeColor="accent1" w:themeShade="BF"/>
                                        <w:sz w:val="24"/>
                                        <w:szCs w:val="24"/>
                                      </w:rPr>
                                      <w:t xml:space="preserve">     </w:t>
                                    </w:r>
                                  </w:sdtContent>
                                </w:sdt>
                              </w:p>
                              <w:p w:rsidR="00130662" w:rsidRDefault="00954750">
                                <w:pPr>
                                  <w:spacing w:after="100"/>
                                  <w:rPr>
                                    <w:color w:val="E65B01" w:themeColor="accent1" w:themeShade="BF"/>
                                  </w:rPr>
                                </w:pPr>
                                <w:sdt>
                                  <w:sdtPr>
                                    <w:rPr>
                                      <w:color w:val="E65B01" w:themeColor="accent1" w:themeShade="BF"/>
                                      <w:sz w:val="24"/>
                                      <w:szCs w:val="24"/>
                                    </w:rPr>
                                    <w:alias w:val="Datum"/>
                                    <w:id w:val="280430091"/>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715134">
                                      <w:rPr>
                                        <w:color w:val="E65B01" w:themeColor="accent1" w:themeShade="BF"/>
                                        <w:sz w:val="24"/>
                                        <w:szCs w:val="24"/>
                                      </w:rPr>
                                      <w:t xml:space="preserve">     </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Pravokutnik 54" o:spid="_x0000_s1026" style="position:absolute;margin-left:0;margin-top:0;width:367pt;height:64.25pt;z-index:251700736;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Dy+yAOhAIA&#10;AAoFAAAOAAAAAAAAAAAAAAAAAC4CAABkcnMvZTJvRG9jLnhtbFBLAQItABQABgAIAAAAIQDA/4IM&#10;2QAAAAUBAAAPAAAAAAAAAAAAAAAAAN4EAABkcnMvZG93bnJldi54bWxQSwUGAAAAAAQABADzAAAA&#10;5AUAAAAA&#10;" o:allowincell="f" stroked="f">
                    <v:textbox>
                      <w:txbxContent>
                        <w:p w:rsidR="00130662" w:rsidRDefault="00EE795B">
                          <w:pPr>
                            <w:spacing w:after="100"/>
                            <w:rPr>
                              <w:color w:val="E65B01" w:themeColor="accent1" w:themeShade="BF"/>
                              <w:sz w:val="24"/>
                              <w:szCs w:val="24"/>
                            </w:rPr>
                          </w:pPr>
                          <w:sdt>
                            <w:sdtPr>
                              <w:rPr>
                                <w:color w:val="E65B01" w:themeColor="accent1" w:themeShade="BF"/>
                                <w:sz w:val="24"/>
                                <w:szCs w:val="24"/>
                              </w:rPr>
                              <w:alias w:val="Autor"/>
                              <w:id w:val="280430085"/>
                              <w:showingPlcHdr/>
                              <w:text/>
                            </w:sdtPr>
                            <w:sdtEndPr/>
                            <w:sdtContent>
                              <w:r w:rsidR="00715134">
                                <w:rPr>
                                  <w:color w:val="E65B01" w:themeColor="accent1" w:themeShade="BF"/>
                                  <w:sz w:val="24"/>
                                  <w:szCs w:val="24"/>
                                </w:rPr>
                                <w:t xml:space="preserve">     </w:t>
                              </w:r>
                            </w:sdtContent>
                          </w:sdt>
                        </w:p>
                        <w:p w:rsidR="00130662" w:rsidRDefault="00EE795B">
                          <w:pPr>
                            <w:spacing w:after="100"/>
                            <w:rPr>
                              <w:color w:val="E65B01" w:themeColor="accent1" w:themeShade="BF"/>
                            </w:rPr>
                          </w:pPr>
                          <w:sdt>
                            <w:sdtPr>
                              <w:rPr>
                                <w:color w:val="E65B01" w:themeColor="accent1" w:themeShade="BF"/>
                                <w:sz w:val="24"/>
                                <w:szCs w:val="24"/>
                              </w:rPr>
                              <w:alias w:val="Datum"/>
                              <w:id w:val="280430091"/>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715134">
                                <w:rPr>
                                  <w:color w:val="E65B01" w:themeColor="accent1" w:themeShade="BF"/>
                                  <w:sz w:val="24"/>
                                  <w:szCs w:val="24"/>
                                </w:rPr>
                                <w:t xml:space="preserve">     </w:t>
                              </w:r>
                            </w:sdtContent>
                          </w:sdt>
                        </w:p>
                      </w:txbxContent>
                    </v:textbox>
                    <w10:wrap anchorx="margin" anchory="margin"/>
                  </v:rect>
                </w:pict>
              </mc:Fallback>
            </mc:AlternateContent>
          </w:r>
          <w:r>
            <w:rPr>
              <w:i/>
              <w:iCs/>
              <w:smallCaps/>
              <w:color w:val="575F6D" w:themeColor="text2"/>
              <w:spacing w:val="5"/>
              <w:sz w:val="24"/>
              <w:szCs w:val="24"/>
            </w:rPr>
            <w:br w:type="page"/>
          </w:r>
        </w:p>
      </w:sdtContent>
    </w:sdt>
    <w:p w:rsidR="000B25F2" w:rsidRDefault="000B25F2" w:rsidP="00ED50C2">
      <w:pPr>
        <w:rPr>
          <w:rFonts w:ascii="Arial" w:hAnsi="Arial" w:cs="Arial"/>
          <w:i/>
        </w:rPr>
      </w:pPr>
    </w:p>
    <w:p w:rsidR="001A43DB" w:rsidRDefault="00EB6940" w:rsidP="000B25F2">
      <w:pPr>
        <w:rPr>
          <w:rFonts w:ascii="Arial" w:hAnsi="Arial" w:cs="Arial"/>
        </w:rPr>
      </w:pPr>
      <w:r w:rsidRPr="00EB6940">
        <w:rPr>
          <w:rFonts w:ascii="Arial" w:hAnsi="Arial" w:cs="Arial"/>
          <w:i/>
        </w:rPr>
        <w:t xml:space="preserve">Godišnji izvještaj </w:t>
      </w:r>
      <w:r>
        <w:rPr>
          <w:rFonts w:ascii="Arial" w:hAnsi="Arial" w:cs="Arial"/>
          <w:i/>
        </w:rPr>
        <w:t>Dječjeg vrtića Iskrica Lipovljani za 2020.g.</w:t>
      </w:r>
      <w:r w:rsidRPr="00EB6940">
        <w:rPr>
          <w:rFonts w:ascii="Arial" w:hAnsi="Arial" w:cs="Arial"/>
          <w:i/>
        </w:rPr>
        <w:t>sastavljen je prema Zakonu o proračunu (NN 87/08,136/12,15/15)</w:t>
      </w:r>
      <w:r>
        <w:rPr>
          <w:rFonts w:ascii="Arial" w:hAnsi="Arial" w:cs="Arial"/>
          <w:i/>
        </w:rPr>
        <w:t>.</w:t>
      </w:r>
      <w:r w:rsidRPr="00EB6940">
        <w:rPr>
          <w:rFonts w:ascii="Arial" w:hAnsi="Arial" w:cs="Arial"/>
          <w:i/>
        </w:rPr>
        <w:t xml:space="preserve"> </w:t>
      </w:r>
      <w:r w:rsidR="000B25F2" w:rsidRPr="00CB15F4">
        <w:rPr>
          <w:rFonts w:ascii="Arial" w:hAnsi="Arial" w:cs="Arial"/>
          <w:i/>
        </w:rPr>
        <w:t>Na temelju odredbi Pravilnika o finan</w:t>
      </w:r>
      <w:r w:rsidR="008F7D0F">
        <w:rPr>
          <w:rFonts w:ascii="Arial" w:hAnsi="Arial" w:cs="Arial"/>
          <w:i/>
        </w:rPr>
        <w:t xml:space="preserve">cijskom izvještavanju </w:t>
      </w:r>
      <w:r w:rsidR="000B25F2" w:rsidRPr="00CB15F4">
        <w:rPr>
          <w:rFonts w:ascii="Arial" w:hAnsi="Arial" w:cs="Arial"/>
          <w:i/>
        </w:rPr>
        <w:t>u proračunskom računovodstvu (NN br. 3/15,93/15,135/15,2/17,28/17,i 112/18) Obvezni obrasci financijskog izvještaja su ; Bilanca ,Izvještaj o prihodima i rashodima ,primicima i izdacima, zatim Izvještaj o rashodima prema funkcijskoj klasifikaciji , Izvještaj o promjenama u vrijednosti i obujmu imovine i obveza i Izvještaj o obveza</w:t>
      </w:r>
      <w:r w:rsidR="008F7D0F">
        <w:rPr>
          <w:rFonts w:ascii="Arial" w:hAnsi="Arial" w:cs="Arial"/>
          <w:i/>
        </w:rPr>
        <w:t xml:space="preserve">ma i </w:t>
      </w:r>
      <w:r>
        <w:rPr>
          <w:rFonts w:ascii="Arial" w:hAnsi="Arial" w:cs="Arial"/>
          <w:i/>
        </w:rPr>
        <w:t>B</w:t>
      </w:r>
      <w:r w:rsidR="008F7D0F">
        <w:rPr>
          <w:rFonts w:ascii="Arial" w:hAnsi="Arial" w:cs="Arial"/>
          <w:i/>
        </w:rPr>
        <w:t>ilješke.</w:t>
      </w:r>
      <w:r w:rsidR="009116F2" w:rsidRPr="00CB15F4">
        <w:rPr>
          <w:rFonts w:ascii="Arial" w:hAnsi="Arial" w:cs="Arial"/>
        </w:rPr>
        <w:tab/>
      </w:r>
    </w:p>
    <w:p w:rsidR="00282B40" w:rsidRDefault="00EB6940" w:rsidP="000B25F2">
      <w:pPr>
        <w:rPr>
          <w:rFonts w:ascii="Arial" w:hAnsi="Arial" w:cs="Arial"/>
          <w:i/>
        </w:rPr>
      </w:pPr>
      <w:r>
        <w:rPr>
          <w:rFonts w:ascii="Arial" w:hAnsi="Arial" w:cs="Arial"/>
          <w:i/>
        </w:rPr>
        <w:t xml:space="preserve">Referentna stranica </w:t>
      </w:r>
    </w:p>
    <w:p w:rsidR="00EB6940" w:rsidRPr="00CB15F4" w:rsidRDefault="00EB6940" w:rsidP="000B25F2">
      <w:pPr>
        <w:rPr>
          <w:rFonts w:ascii="Arial" w:hAnsi="Arial" w:cs="Arial"/>
          <w:i/>
        </w:rPr>
      </w:pPr>
      <w:r w:rsidRPr="00EB6940">
        <w:rPr>
          <w:noProof/>
        </w:rPr>
        <w:drawing>
          <wp:inline distT="0" distB="0" distL="0" distR="0">
            <wp:extent cx="5486400" cy="2412262"/>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412262"/>
                    </a:xfrm>
                    <a:prstGeom prst="rect">
                      <a:avLst/>
                    </a:prstGeom>
                    <a:noFill/>
                    <a:ln>
                      <a:noFill/>
                    </a:ln>
                  </pic:spPr>
                </pic:pic>
              </a:graphicData>
            </a:graphic>
          </wp:inline>
        </w:drawing>
      </w:r>
    </w:p>
    <w:p w:rsidR="00434F57" w:rsidRPr="00CB15F4" w:rsidRDefault="004D0CC3" w:rsidP="00913DD4">
      <w:pPr>
        <w:rPr>
          <w:rFonts w:ascii="Arial" w:hAnsi="Arial" w:cs="Arial"/>
          <w:b/>
        </w:rPr>
      </w:pPr>
      <w:r w:rsidRPr="00CB15F4">
        <w:rPr>
          <w:rFonts w:ascii="Arial" w:hAnsi="Arial" w:cs="Arial"/>
          <w:b/>
        </w:rPr>
        <w:t xml:space="preserve">Bilješka br.1 </w:t>
      </w:r>
    </w:p>
    <w:p w:rsidR="00913DD4" w:rsidRPr="00EB6940" w:rsidRDefault="00282B40" w:rsidP="00520778">
      <w:pPr>
        <w:spacing w:after="0" w:line="240" w:lineRule="auto"/>
        <w:rPr>
          <w:rFonts w:ascii="Arial" w:hAnsi="Arial" w:cs="Arial"/>
          <w:b/>
        </w:rPr>
      </w:pPr>
      <w:r w:rsidRPr="00EB6940">
        <w:rPr>
          <w:rFonts w:ascii="Arial" w:hAnsi="Arial" w:cs="Arial"/>
          <w:b/>
        </w:rPr>
        <w:t xml:space="preserve">Obrazac PR-RAS </w:t>
      </w:r>
    </w:p>
    <w:p w:rsidR="00913DD4" w:rsidRDefault="00E631F3" w:rsidP="00520778">
      <w:pPr>
        <w:spacing w:after="0" w:line="240" w:lineRule="auto"/>
        <w:rPr>
          <w:rFonts w:ascii="Arial" w:hAnsi="Arial" w:cs="Arial"/>
        </w:rPr>
      </w:pPr>
      <w:r w:rsidRPr="00CB15F4">
        <w:rPr>
          <w:rFonts w:ascii="Arial" w:hAnsi="Arial" w:cs="Arial"/>
        </w:rPr>
        <w:t>Pr</w:t>
      </w:r>
      <w:r w:rsidR="00282B40">
        <w:rPr>
          <w:rFonts w:ascii="Arial" w:hAnsi="Arial" w:cs="Arial"/>
        </w:rPr>
        <w:t xml:space="preserve">ihodi poslovanja  </w:t>
      </w:r>
      <w:r w:rsidR="00344C8D">
        <w:rPr>
          <w:rFonts w:ascii="Arial" w:hAnsi="Arial" w:cs="Arial"/>
        </w:rPr>
        <w:t xml:space="preserve">u 2020.g. </w:t>
      </w:r>
      <w:r w:rsidR="00282B40">
        <w:rPr>
          <w:rFonts w:ascii="Arial" w:hAnsi="Arial" w:cs="Arial"/>
        </w:rPr>
        <w:t xml:space="preserve">realizirani su </w:t>
      </w:r>
      <w:r w:rsidRPr="00CB15F4">
        <w:rPr>
          <w:rFonts w:ascii="Arial" w:hAnsi="Arial" w:cs="Arial"/>
        </w:rPr>
        <w:t xml:space="preserve"> </w:t>
      </w:r>
      <w:r w:rsidR="00100C4E">
        <w:rPr>
          <w:rFonts w:ascii="Arial" w:hAnsi="Arial" w:cs="Arial"/>
        </w:rPr>
        <w:t xml:space="preserve">u iznosu od 966.643 kune </w:t>
      </w:r>
      <w:r w:rsidR="00D11FD7">
        <w:rPr>
          <w:rFonts w:ascii="Arial" w:hAnsi="Arial" w:cs="Arial"/>
        </w:rPr>
        <w:t>za 0,9</w:t>
      </w:r>
      <w:r w:rsidRPr="00CB15F4">
        <w:rPr>
          <w:rFonts w:ascii="Arial" w:hAnsi="Arial" w:cs="Arial"/>
        </w:rPr>
        <w:t xml:space="preserve">% </w:t>
      </w:r>
      <w:r w:rsidR="00282B40">
        <w:rPr>
          <w:rFonts w:ascii="Arial" w:hAnsi="Arial" w:cs="Arial"/>
        </w:rPr>
        <w:t xml:space="preserve">više </w:t>
      </w:r>
      <w:r w:rsidRPr="00CB15F4">
        <w:rPr>
          <w:rFonts w:ascii="Arial" w:hAnsi="Arial" w:cs="Arial"/>
        </w:rPr>
        <w:t>u odnosu na prethodno izvještajno razdoblje 201</w:t>
      </w:r>
      <w:r w:rsidR="00D11FD7">
        <w:rPr>
          <w:rFonts w:ascii="Arial" w:hAnsi="Arial" w:cs="Arial"/>
        </w:rPr>
        <w:t>9</w:t>
      </w:r>
      <w:r w:rsidR="00913DD4" w:rsidRPr="00CB15F4">
        <w:rPr>
          <w:rFonts w:ascii="Arial" w:hAnsi="Arial" w:cs="Arial"/>
        </w:rPr>
        <w:t>.godine</w:t>
      </w:r>
    </w:p>
    <w:p w:rsidR="00520778" w:rsidRPr="00CB15F4" w:rsidRDefault="00520778" w:rsidP="00520778">
      <w:pPr>
        <w:spacing w:after="0" w:line="240" w:lineRule="auto"/>
        <w:rPr>
          <w:rFonts w:ascii="Arial" w:hAnsi="Arial" w:cs="Arial"/>
        </w:rPr>
      </w:pPr>
    </w:p>
    <w:p w:rsidR="00520778" w:rsidRDefault="006D3609" w:rsidP="00520778">
      <w:pPr>
        <w:spacing w:after="0" w:line="240" w:lineRule="auto"/>
        <w:rPr>
          <w:rFonts w:ascii="Arial" w:hAnsi="Arial" w:cs="Arial"/>
        </w:rPr>
      </w:pPr>
      <w:r w:rsidRPr="00CB15F4">
        <w:rPr>
          <w:rFonts w:ascii="Arial" w:hAnsi="Arial" w:cs="Arial"/>
        </w:rPr>
        <w:t>Aop 045</w:t>
      </w:r>
      <w:r w:rsidR="00282B40">
        <w:rPr>
          <w:rFonts w:ascii="Arial" w:hAnsi="Arial" w:cs="Arial"/>
        </w:rPr>
        <w:t>-</w:t>
      </w:r>
      <w:r w:rsidR="00913DD4" w:rsidRPr="00CB15F4">
        <w:rPr>
          <w:rFonts w:ascii="Arial" w:hAnsi="Arial" w:cs="Arial"/>
        </w:rPr>
        <w:t xml:space="preserve">Pomoći unutar općeg proračuna </w:t>
      </w:r>
      <w:r w:rsidR="00282B40">
        <w:rPr>
          <w:rFonts w:ascii="Arial" w:hAnsi="Arial" w:cs="Arial"/>
        </w:rPr>
        <w:t>–</w:t>
      </w:r>
      <w:r w:rsidRPr="00CB15F4">
        <w:rPr>
          <w:rFonts w:ascii="Arial" w:hAnsi="Arial" w:cs="Arial"/>
        </w:rPr>
        <w:t xml:space="preserve"> izvršenje je </w:t>
      </w:r>
      <w:r w:rsidR="00D11FD7">
        <w:rPr>
          <w:rFonts w:ascii="Arial" w:hAnsi="Arial" w:cs="Arial"/>
        </w:rPr>
        <w:t>121</w:t>
      </w:r>
      <w:r w:rsidRPr="00CB15F4">
        <w:rPr>
          <w:rFonts w:ascii="Arial" w:hAnsi="Arial" w:cs="Arial"/>
        </w:rPr>
        <w:t xml:space="preserve">% </w:t>
      </w:r>
      <w:r w:rsidR="00D11FD7">
        <w:rPr>
          <w:rFonts w:ascii="Arial" w:hAnsi="Arial" w:cs="Arial"/>
        </w:rPr>
        <w:t>više</w:t>
      </w:r>
      <w:r w:rsidR="00730712" w:rsidRPr="00CB15F4">
        <w:rPr>
          <w:rFonts w:ascii="Arial" w:hAnsi="Arial" w:cs="Arial"/>
        </w:rPr>
        <w:t xml:space="preserve"> </w:t>
      </w:r>
      <w:r w:rsidR="00282B40">
        <w:rPr>
          <w:rFonts w:ascii="Arial" w:hAnsi="Arial" w:cs="Arial"/>
        </w:rPr>
        <w:t>u odnosu na prošlu godinu</w:t>
      </w:r>
    </w:p>
    <w:p w:rsidR="00282B40" w:rsidRDefault="00282B40" w:rsidP="00520778">
      <w:pPr>
        <w:spacing w:after="0" w:line="240" w:lineRule="auto"/>
        <w:rPr>
          <w:rFonts w:ascii="Arial" w:hAnsi="Arial" w:cs="Arial"/>
        </w:rPr>
      </w:pPr>
      <w:r>
        <w:rPr>
          <w:rFonts w:ascii="Arial" w:hAnsi="Arial" w:cs="Arial"/>
        </w:rPr>
        <w:t xml:space="preserve">Aop 058-Tekuće pomoći od izvanproračunskih korisnika </w:t>
      </w:r>
      <w:r w:rsidR="00D11FD7">
        <w:rPr>
          <w:rFonts w:ascii="Arial" w:hAnsi="Arial" w:cs="Arial"/>
        </w:rPr>
        <w:t xml:space="preserve">–knjiženje prihoda odobravanjem obračuna doprinosa za stručno osposobljavanje na jednu godinu </w:t>
      </w:r>
    </w:p>
    <w:p w:rsidR="00520778" w:rsidRDefault="00983243" w:rsidP="00520778">
      <w:pPr>
        <w:spacing w:after="0" w:line="240" w:lineRule="auto"/>
        <w:rPr>
          <w:rFonts w:ascii="Arial" w:hAnsi="Arial" w:cs="Arial"/>
        </w:rPr>
      </w:pPr>
      <w:r w:rsidRPr="00CB15F4">
        <w:rPr>
          <w:rFonts w:ascii="Arial" w:hAnsi="Arial" w:cs="Arial"/>
        </w:rPr>
        <w:t>Aop</w:t>
      </w:r>
      <w:r w:rsidR="00282B40">
        <w:rPr>
          <w:rFonts w:ascii="Arial" w:hAnsi="Arial" w:cs="Arial"/>
        </w:rPr>
        <w:t xml:space="preserve"> </w:t>
      </w:r>
      <w:r w:rsidR="00913DD4" w:rsidRPr="00CB15F4">
        <w:rPr>
          <w:rFonts w:ascii="Arial" w:hAnsi="Arial" w:cs="Arial"/>
        </w:rPr>
        <w:t>064- Pomoć</w:t>
      </w:r>
      <w:r w:rsidR="00D11FD7">
        <w:rPr>
          <w:rFonts w:ascii="Arial" w:hAnsi="Arial" w:cs="Arial"/>
        </w:rPr>
        <w:t>i iz nenadležnih proračuna veći</w:t>
      </w:r>
      <w:r w:rsidR="00913DD4" w:rsidRPr="00CB15F4">
        <w:rPr>
          <w:rFonts w:ascii="Arial" w:hAnsi="Arial" w:cs="Arial"/>
        </w:rPr>
        <w:t xml:space="preserve"> su no prošle godine</w:t>
      </w:r>
      <w:r w:rsidR="00520778">
        <w:rPr>
          <w:rFonts w:ascii="Arial" w:hAnsi="Arial" w:cs="Arial"/>
        </w:rPr>
        <w:t xml:space="preserve"> za </w:t>
      </w:r>
      <w:r w:rsidR="00D11FD7">
        <w:rPr>
          <w:rFonts w:ascii="Arial" w:hAnsi="Arial" w:cs="Arial"/>
        </w:rPr>
        <w:t>172,2</w:t>
      </w:r>
      <w:r w:rsidR="00520778">
        <w:rPr>
          <w:rFonts w:ascii="Arial" w:hAnsi="Arial" w:cs="Arial"/>
        </w:rPr>
        <w:t>%</w:t>
      </w:r>
      <w:r w:rsidR="00913DD4" w:rsidRPr="00CB15F4">
        <w:rPr>
          <w:rFonts w:ascii="Arial" w:hAnsi="Arial" w:cs="Arial"/>
        </w:rPr>
        <w:t xml:space="preserve"> </w:t>
      </w:r>
      <w:r w:rsidR="00520778">
        <w:rPr>
          <w:rFonts w:ascii="Arial" w:hAnsi="Arial" w:cs="Arial"/>
        </w:rPr>
        <w:t xml:space="preserve">, pomoći od Ministarstva obrazovanja </w:t>
      </w:r>
      <w:r w:rsidR="00B05F29">
        <w:rPr>
          <w:rFonts w:ascii="Arial" w:hAnsi="Arial" w:cs="Arial"/>
        </w:rPr>
        <w:t xml:space="preserve">u ukupnom iznosu od </w:t>
      </w:r>
      <w:r w:rsidR="00520778">
        <w:rPr>
          <w:rFonts w:ascii="Arial" w:hAnsi="Arial" w:cs="Arial"/>
        </w:rPr>
        <w:t xml:space="preserve"> </w:t>
      </w:r>
      <w:r w:rsidR="00D11FD7">
        <w:rPr>
          <w:rFonts w:ascii="Arial" w:hAnsi="Arial" w:cs="Arial"/>
        </w:rPr>
        <w:t xml:space="preserve">10.240 </w:t>
      </w:r>
      <w:r w:rsidR="00520778">
        <w:rPr>
          <w:rFonts w:ascii="Arial" w:hAnsi="Arial" w:cs="Arial"/>
        </w:rPr>
        <w:t>kuna</w:t>
      </w:r>
      <w:r w:rsidR="00D11FD7">
        <w:rPr>
          <w:rFonts w:ascii="Arial" w:hAnsi="Arial" w:cs="Arial"/>
        </w:rPr>
        <w:t xml:space="preserve"> za dva programa ; </w:t>
      </w:r>
      <w:r w:rsidR="00B05F29">
        <w:rPr>
          <w:rFonts w:ascii="Arial" w:hAnsi="Arial" w:cs="Arial"/>
        </w:rPr>
        <w:t>Program za djecu u programu predškole 5.440 kuna i Program predškolskog odgoja i obrazovanja djece predškolske dobi s teškoćama koji se ostvaruju u dječjim vrtićima i drugim ustanovama 4.800 kuna-</w:t>
      </w:r>
      <w:r w:rsidR="00520778">
        <w:rPr>
          <w:rFonts w:ascii="Arial" w:hAnsi="Arial" w:cs="Arial"/>
        </w:rPr>
        <w:t xml:space="preserve"> dok je tekuća pomoć od Sisačko moslavačke</w:t>
      </w:r>
      <w:r w:rsidR="00D11FD7">
        <w:rPr>
          <w:rFonts w:ascii="Arial" w:hAnsi="Arial" w:cs="Arial"/>
        </w:rPr>
        <w:t xml:space="preserve"> županije iznosila 9.360kn za program predškole.</w:t>
      </w:r>
    </w:p>
    <w:p w:rsidR="00282B40" w:rsidRDefault="00520778" w:rsidP="00520778">
      <w:pPr>
        <w:spacing w:after="0" w:line="240" w:lineRule="auto"/>
        <w:rPr>
          <w:rFonts w:ascii="Arial" w:hAnsi="Arial" w:cs="Arial"/>
        </w:rPr>
      </w:pPr>
      <w:r>
        <w:rPr>
          <w:rFonts w:ascii="Arial" w:hAnsi="Arial" w:cs="Arial"/>
        </w:rPr>
        <w:t xml:space="preserve">  </w:t>
      </w:r>
    </w:p>
    <w:p w:rsidR="00520778" w:rsidRDefault="00520778" w:rsidP="00520778">
      <w:pPr>
        <w:spacing w:after="0" w:line="240" w:lineRule="auto"/>
        <w:rPr>
          <w:rFonts w:ascii="Arial" w:hAnsi="Arial" w:cs="Arial"/>
        </w:rPr>
      </w:pPr>
    </w:p>
    <w:p w:rsidR="003A58A6" w:rsidRPr="00100C4E" w:rsidRDefault="00B05F29" w:rsidP="00B567D9">
      <w:pPr>
        <w:rPr>
          <w:rFonts w:ascii="Arial" w:hAnsi="Arial" w:cs="Arial"/>
          <w:i/>
        </w:rPr>
      </w:pPr>
      <w:r>
        <w:rPr>
          <w:rFonts w:ascii="Arial" w:hAnsi="Arial" w:cs="Arial"/>
        </w:rPr>
        <w:t>Aop105-116</w:t>
      </w:r>
      <w:r w:rsidR="003A58A6" w:rsidRPr="00CB15F4">
        <w:rPr>
          <w:rFonts w:ascii="Arial" w:hAnsi="Arial" w:cs="Arial"/>
        </w:rPr>
        <w:t xml:space="preserve">- Prihod od usluga-boravak djece u vrtiću, veći je za </w:t>
      </w:r>
      <w:r>
        <w:rPr>
          <w:rFonts w:ascii="Arial" w:hAnsi="Arial" w:cs="Arial"/>
        </w:rPr>
        <w:t>15,36</w:t>
      </w:r>
      <w:r w:rsidR="003A58A6" w:rsidRPr="00CB15F4">
        <w:rPr>
          <w:rFonts w:ascii="Arial" w:hAnsi="Arial" w:cs="Arial"/>
        </w:rPr>
        <w:t>%</w:t>
      </w:r>
      <w:r w:rsidR="00B567D9">
        <w:rPr>
          <w:rFonts w:ascii="Arial" w:hAnsi="Arial" w:cs="Arial"/>
        </w:rPr>
        <w:t xml:space="preserve"> u odnosu na prethodnu godinu  prihod varira ovisno o izostancima </w:t>
      </w:r>
      <w:r w:rsidR="00100C4E" w:rsidRPr="00100C4E">
        <w:rPr>
          <w:rFonts w:ascii="Arial" w:hAnsi="Arial" w:cs="Arial"/>
        </w:rPr>
        <w:t xml:space="preserve"> </w:t>
      </w:r>
      <w:r w:rsidR="00100C4E">
        <w:rPr>
          <w:rFonts w:ascii="Arial" w:hAnsi="Arial" w:cs="Arial"/>
        </w:rPr>
        <w:t>(</w:t>
      </w:r>
      <w:r w:rsidR="00100C4E" w:rsidRPr="00100C4E">
        <w:rPr>
          <w:rFonts w:ascii="Arial" w:hAnsi="Arial" w:cs="Arial"/>
          <w:i/>
        </w:rPr>
        <w:t>za usporedbu iznosa nema iz razloga što se prošle godine knjižilo na kontu 6615 prihodi od pruženih usluga što nije ispravno pa se izvršio ispravak konta knjiženja na 6526 jer roditelji plaćaju samo dio ekonomske cijene vrtića tako da je riječ o sufinanciranju cijene pruženih usluga  a ne ekonomske cijene pruženih usluga)</w:t>
      </w:r>
      <w:r w:rsidR="00100C4E">
        <w:rPr>
          <w:rFonts w:ascii="Arial" w:hAnsi="Arial" w:cs="Arial"/>
          <w:i/>
        </w:rPr>
        <w:t xml:space="preserve"> Prihod je manje realiziran u odnosu na prethodnu godinu iz razloga što je vrtić bio zatvoren tijekom proljetnih mjera za Covid19.</w:t>
      </w:r>
    </w:p>
    <w:p w:rsidR="00983243" w:rsidRPr="00CB15F4" w:rsidRDefault="00983243" w:rsidP="00ED50C2">
      <w:pPr>
        <w:rPr>
          <w:rFonts w:ascii="Arial" w:hAnsi="Arial" w:cs="Arial"/>
        </w:rPr>
      </w:pPr>
      <w:r w:rsidRPr="00CB15F4">
        <w:rPr>
          <w:rFonts w:ascii="Arial" w:hAnsi="Arial" w:cs="Arial"/>
        </w:rPr>
        <w:lastRenderedPageBreak/>
        <w:t>Aop128-Tekuće donacije – u 201</w:t>
      </w:r>
      <w:r w:rsidR="00B567D9">
        <w:rPr>
          <w:rFonts w:ascii="Arial" w:hAnsi="Arial" w:cs="Arial"/>
        </w:rPr>
        <w:t>9</w:t>
      </w:r>
      <w:r w:rsidRPr="00CB15F4">
        <w:rPr>
          <w:rFonts w:ascii="Arial" w:hAnsi="Arial" w:cs="Arial"/>
        </w:rPr>
        <w:t>.g. realizirana je donacija od INA d.d. za nabavku didaktike</w:t>
      </w:r>
      <w:r w:rsidR="00B567D9">
        <w:rPr>
          <w:rFonts w:ascii="Arial" w:hAnsi="Arial" w:cs="Arial"/>
        </w:rPr>
        <w:t xml:space="preserve"> u iznosu </w:t>
      </w:r>
      <w:r w:rsidR="00100C4E">
        <w:rPr>
          <w:rFonts w:ascii="Arial" w:hAnsi="Arial" w:cs="Arial"/>
        </w:rPr>
        <w:t xml:space="preserve">od 5.000,00kuna dok u 2020.g. uplata nije izvršena do kraja mjeseca prosinca nego u siječnju 2021.g.  </w:t>
      </w:r>
    </w:p>
    <w:p w:rsidR="009C68E8" w:rsidRDefault="003A58A6" w:rsidP="00ED50C2">
      <w:pPr>
        <w:rPr>
          <w:rFonts w:ascii="Arial" w:hAnsi="Arial" w:cs="Arial"/>
        </w:rPr>
      </w:pPr>
      <w:r w:rsidRPr="00CB15F4">
        <w:rPr>
          <w:rFonts w:ascii="Arial" w:hAnsi="Arial" w:cs="Arial"/>
        </w:rPr>
        <w:t xml:space="preserve">Aop132 Prihodi iz nadležnog proračuna , </w:t>
      </w:r>
      <w:r w:rsidR="009C68E8">
        <w:rPr>
          <w:rFonts w:ascii="Arial" w:hAnsi="Arial" w:cs="Arial"/>
        </w:rPr>
        <w:t xml:space="preserve">realizacija je 5,3% veća u odnosu na prethodnu godinu radi povećanja </w:t>
      </w:r>
      <w:r w:rsidR="006C1F19">
        <w:rPr>
          <w:rFonts w:ascii="Arial" w:hAnsi="Arial" w:cs="Arial"/>
        </w:rPr>
        <w:t>osnovice za obračun plaća sukladno planiranim proračunskim sredstvima Pravilniku i odluci Upravnog vijeća tijekom 2020.g. Pored plaća iz općinskog proračuna se financiraju naknade za putne troškove i božićnice.</w:t>
      </w:r>
    </w:p>
    <w:p w:rsidR="003A58A6" w:rsidRPr="00CB15F4" w:rsidRDefault="006C1F19" w:rsidP="00ED50C2">
      <w:pPr>
        <w:rPr>
          <w:rFonts w:ascii="Arial" w:hAnsi="Arial" w:cs="Arial"/>
        </w:rPr>
      </w:pPr>
      <w:r>
        <w:rPr>
          <w:rFonts w:ascii="Arial" w:hAnsi="Arial" w:cs="Arial"/>
        </w:rPr>
        <w:t xml:space="preserve">Rashodi poslovanja- izvršenje 0,8% </w:t>
      </w:r>
      <w:r w:rsidR="00B567D9">
        <w:rPr>
          <w:rFonts w:ascii="Arial" w:hAnsi="Arial" w:cs="Arial"/>
        </w:rPr>
        <w:t>više u odnosu na prethodnu godinu</w:t>
      </w:r>
      <w:r>
        <w:rPr>
          <w:rFonts w:ascii="Arial" w:hAnsi="Arial" w:cs="Arial"/>
        </w:rPr>
        <w:t xml:space="preserve"> u iznosu od 966.088 kuna</w:t>
      </w:r>
      <w:r w:rsidR="00B567D9">
        <w:rPr>
          <w:rFonts w:ascii="Arial" w:hAnsi="Arial" w:cs="Arial"/>
        </w:rPr>
        <w:t xml:space="preserve"> </w:t>
      </w:r>
    </w:p>
    <w:p w:rsidR="00B567D9" w:rsidRDefault="00983243" w:rsidP="00ED50C2">
      <w:pPr>
        <w:rPr>
          <w:rFonts w:ascii="Arial" w:hAnsi="Arial" w:cs="Arial"/>
        </w:rPr>
      </w:pPr>
      <w:r w:rsidRPr="00CB15F4">
        <w:rPr>
          <w:rFonts w:ascii="Arial" w:hAnsi="Arial" w:cs="Arial"/>
        </w:rPr>
        <w:t>Aop149-</w:t>
      </w:r>
      <w:r w:rsidR="00B567D9">
        <w:rPr>
          <w:rFonts w:ascii="Arial" w:hAnsi="Arial" w:cs="Arial"/>
        </w:rPr>
        <w:t xml:space="preserve">159- </w:t>
      </w:r>
      <w:r w:rsidR="006C1F19">
        <w:rPr>
          <w:rFonts w:ascii="Arial" w:hAnsi="Arial" w:cs="Arial"/>
        </w:rPr>
        <w:t>R</w:t>
      </w:r>
      <w:r w:rsidRPr="00CB15F4">
        <w:rPr>
          <w:rFonts w:ascii="Arial" w:hAnsi="Arial" w:cs="Arial"/>
        </w:rPr>
        <w:t xml:space="preserve">ashodi za zaposlene- </w:t>
      </w:r>
      <w:r w:rsidR="006C1F19">
        <w:rPr>
          <w:rFonts w:ascii="Arial" w:hAnsi="Arial" w:cs="Arial"/>
        </w:rPr>
        <w:t>plaće za redovan rad veće</w:t>
      </w:r>
      <w:r w:rsidR="00B567D9">
        <w:rPr>
          <w:rFonts w:ascii="Arial" w:hAnsi="Arial" w:cs="Arial"/>
        </w:rPr>
        <w:t xml:space="preserve"> su za </w:t>
      </w:r>
      <w:r w:rsidR="006C1F19">
        <w:rPr>
          <w:rFonts w:ascii="Arial" w:hAnsi="Arial" w:cs="Arial"/>
        </w:rPr>
        <w:t>5,3</w:t>
      </w:r>
      <w:r w:rsidR="00B567D9">
        <w:rPr>
          <w:rFonts w:ascii="Arial" w:hAnsi="Arial" w:cs="Arial"/>
        </w:rPr>
        <w:t xml:space="preserve">% u odnosu na prethodnu godinu radi povećanja koeficijenata </w:t>
      </w:r>
      <w:r w:rsidR="006C1F19">
        <w:rPr>
          <w:rFonts w:ascii="Arial" w:hAnsi="Arial" w:cs="Arial"/>
        </w:rPr>
        <w:t xml:space="preserve">sukladno odluci </w:t>
      </w:r>
    </w:p>
    <w:p w:rsidR="006C1F19" w:rsidRDefault="006C1F19" w:rsidP="00ED50C2">
      <w:pPr>
        <w:rPr>
          <w:rFonts w:ascii="Arial" w:hAnsi="Arial" w:cs="Arial"/>
        </w:rPr>
      </w:pPr>
      <w:r>
        <w:rPr>
          <w:rFonts w:ascii="Arial" w:hAnsi="Arial" w:cs="Arial"/>
        </w:rPr>
        <w:t xml:space="preserve">Aop155 Ostali rashodi za zaposlene ,naknade su za pokriće putnih troškova ,izvršenje je za 12,4% manje u odnosu na prethodnu godinu radi odlaska zaposlenice u obiteljsku mirovinu </w:t>
      </w:r>
    </w:p>
    <w:p w:rsidR="006C1F19" w:rsidRDefault="006C1F19" w:rsidP="00ED50C2">
      <w:pPr>
        <w:rPr>
          <w:rFonts w:ascii="Arial" w:hAnsi="Arial" w:cs="Arial"/>
        </w:rPr>
      </w:pPr>
      <w:r>
        <w:rPr>
          <w:rFonts w:ascii="Arial" w:hAnsi="Arial" w:cs="Arial"/>
        </w:rPr>
        <w:t>Aop 156 Doprinosi na plaće – povećanje za 7,2% sukladno povećanju osnovica za obračun plaća</w:t>
      </w:r>
    </w:p>
    <w:p w:rsidR="00393AFF" w:rsidRDefault="00460A67" w:rsidP="00393AFF">
      <w:pPr>
        <w:spacing w:after="0"/>
        <w:rPr>
          <w:rFonts w:ascii="Arial" w:hAnsi="Arial" w:cs="Arial"/>
        </w:rPr>
      </w:pPr>
      <w:r w:rsidRPr="00CB15F4">
        <w:rPr>
          <w:rFonts w:ascii="Arial" w:hAnsi="Arial" w:cs="Arial"/>
        </w:rPr>
        <w:t xml:space="preserve">Aop </w:t>
      </w:r>
      <w:r w:rsidR="001B121D" w:rsidRPr="00CB15F4">
        <w:rPr>
          <w:rFonts w:ascii="Arial" w:hAnsi="Arial" w:cs="Arial"/>
        </w:rPr>
        <w:t>16</w:t>
      </w:r>
      <w:r w:rsidR="00983243" w:rsidRPr="00CB15F4">
        <w:rPr>
          <w:rFonts w:ascii="Arial" w:hAnsi="Arial" w:cs="Arial"/>
        </w:rPr>
        <w:t>0</w:t>
      </w:r>
      <w:r w:rsidR="001B121D" w:rsidRPr="00CB15F4">
        <w:rPr>
          <w:rFonts w:ascii="Arial" w:hAnsi="Arial" w:cs="Arial"/>
        </w:rPr>
        <w:t xml:space="preserve">- </w:t>
      </w:r>
      <w:r w:rsidR="006C1F19">
        <w:rPr>
          <w:rFonts w:ascii="Arial" w:hAnsi="Arial" w:cs="Arial"/>
        </w:rPr>
        <w:t>M</w:t>
      </w:r>
      <w:r w:rsidR="00983243" w:rsidRPr="00CB15F4">
        <w:rPr>
          <w:rFonts w:ascii="Arial" w:hAnsi="Arial" w:cs="Arial"/>
        </w:rPr>
        <w:t>aterij</w:t>
      </w:r>
      <w:r w:rsidR="006C1F19">
        <w:rPr>
          <w:rFonts w:ascii="Arial" w:hAnsi="Arial" w:cs="Arial"/>
        </w:rPr>
        <w:t>alni rashodi –izvršenje</w:t>
      </w:r>
      <w:r w:rsidR="00B567D9">
        <w:rPr>
          <w:rFonts w:ascii="Arial" w:hAnsi="Arial" w:cs="Arial"/>
        </w:rPr>
        <w:t xml:space="preserve"> je </w:t>
      </w:r>
      <w:r w:rsidR="006C1F19">
        <w:rPr>
          <w:rFonts w:ascii="Arial" w:hAnsi="Arial" w:cs="Arial"/>
        </w:rPr>
        <w:t>manje</w:t>
      </w:r>
      <w:r w:rsidR="00B567D9">
        <w:rPr>
          <w:rFonts w:ascii="Arial" w:hAnsi="Arial" w:cs="Arial"/>
        </w:rPr>
        <w:t xml:space="preserve"> </w:t>
      </w:r>
      <w:r w:rsidR="00983243" w:rsidRPr="00CB15F4">
        <w:rPr>
          <w:rFonts w:ascii="Arial" w:hAnsi="Arial" w:cs="Arial"/>
        </w:rPr>
        <w:t xml:space="preserve">za </w:t>
      </w:r>
      <w:r w:rsidR="006C1F19">
        <w:rPr>
          <w:rFonts w:ascii="Arial" w:hAnsi="Arial" w:cs="Arial"/>
        </w:rPr>
        <w:t>11,6</w:t>
      </w:r>
      <w:r w:rsidR="00983243" w:rsidRPr="00CB15F4">
        <w:rPr>
          <w:rFonts w:ascii="Arial" w:hAnsi="Arial" w:cs="Arial"/>
        </w:rPr>
        <w:t xml:space="preserve">% </w:t>
      </w:r>
      <w:r w:rsidR="006C1F19">
        <w:rPr>
          <w:rFonts w:ascii="Arial" w:hAnsi="Arial" w:cs="Arial"/>
        </w:rPr>
        <w:t xml:space="preserve">u odnos na prethodnu godinu </w:t>
      </w:r>
    </w:p>
    <w:p w:rsidR="006C1F19" w:rsidRDefault="006C1F19" w:rsidP="00393AFF">
      <w:pPr>
        <w:spacing w:after="0"/>
        <w:rPr>
          <w:rFonts w:ascii="Arial" w:hAnsi="Arial" w:cs="Arial"/>
        </w:rPr>
      </w:pPr>
      <w:r>
        <w:rPr>
          <w:rFonts w:ascii="Arial" w:hAnsi="Arial" w:cs="Arial"/>
        </w:rPr>
        <w:t xml:space="preserve">Aop 161 </w:t>
      </w:r>
      <w:r w:rsidR="000A1AEB">
        <w:rPr>
          <w:rFonts w:ascii="Arial" w:hAnsi="Arial" w:cs="Arial"/>
        </w:rPr>
        <w:t xml:space="preserve">-164 </w:t>
      </w:r>
      <w:r>
        <w:rPr>
          <w:rFonts w:ascii="Arial" w:hAnsi="Arial" w:cs="Arial"/>
        </w:rPr>
        <w:t xml:space="preserve">Naknade troškova zaposlenima , </w:t>
      </w:r>
      <w:r w:rsidR="00805019">
        <w:rPr>
          <w:rFonts w:ascii="Arial" w:hAnsi="Arial" w:cs="Arial"/>
        </w:rPr>
        <w:t xml:space="preserve">izvršenje rashoda je manje za </w:t>
      </w:r>
      <w:r>
        <w:rPr>
          <w:rFonts w:ascii="Arial" w:hAnsi="Arial" w:cs="Arial"/>
        </w:rPr>
        <w:t>11%</w:t>
      </w:r>
      <w:r w:rsidR="000A1AEB">
        <w:rPr>
          <w:rFonts w:ascii="Arial" w:hAnsi="Arial" w:cs="Arial"/>
        </w:rPr>
        <w:t xml:space="preserve"> ,razlog su mjere uslijed Covid situacije, smanjeni troškovi seminara i službenih putovanja  </w:t>
      </w:r>
    </w:p>
    <w:p w:rsidR="000A1AEB" w:rsidRDefault="000A1AEB" w:rsidP="007A7DC6">
      <w:pPr>
        <w:spacing w:after="0"/>
        <w:rPr>
          <w:rFonts w:ascii="Arial" w:hAnsi="Arial" w:cs="Arial"/>
        </w:rPr>
      </w:pPr>
    </w:p>
    <w:p w:rsidR="007A7DC6" w:rsidRDefault="00DE4710" w:rsidP="007A7DC6">
      <w:pPr>
        <w:spacing w:after="0"/>
        <w:rPr>
          <w:rFonts w:ascii="Arial" w:hAnsi="Arial" w:cs="Arial"/>
        </w:rPr>
      </w:pPr>
      <w:r>
        <w:rPr>
          <w:rFonts w:ascii="Arial" w:hAnsi="Arial" w:cs="Arial"/>
        </w:rPr>
        <w:t xml:space="preserve">Aop </w:t>
      </w:r>
      <w:r w:rsidR="007A7DC6">
        <w:rPr>
          <w:rFonts w:ascii="Arial" w:hAnsi="Arial" w:cs="Arial"/>
        </w:rPr>
        <w:t>16</w:t>
      </w:r>
      <w:r w:rsidR="000A1AEB">
        <w:rPr>
          <w:rFonts w:ascii="Arial" w:hAnsi="Arial" w:cs="Arial"/>
        </w:rPr>
        <w:t>6-</w:t>
      </w:r>
      <w:r w:rsidR="007A7DC6">
        <w:rPr>
          <w:rFonts w:ascii="Arial" w:hAnsi="Arial" w:cs="Arial"/>
        </w:rPr>
        <w:t>73</w:t>
      </w:r>
      <w:r w:rsidR="000A1AEB">
        <w:rPr>
          <w:rFonts w:ascii="Arial" w:hAnsi="Arial" w:cs="Arial"/>
        </w:rPr>
        <w:t xml:space="preserve">- Smanjeni troškovi za 8,1% u odnosu na prethodnu godinu </w:t>
      </w:r>
    </w:p>
    <w:p w:rsidR="00DE4710" w:rsidRDefault="000A1AEB" w:rsidP="007A7DC6">
      <w:pPr>
        <w:spacing w:after="0"/>
        <w:rPr>
          <w:rFonts w:ascii="Arial" w:hAnsi="Arial" w:cs="Arial"/>
        </w:rPr>
      </w:pPr>
      <w:r>
        <w:rPr>
          <w:rFonts w:ascii="Arial" w:hAnsi="Arial" w:cs="Arial"/>
        </w:rPr>
        <w:t xml:space="preserve">Smanjeni su </w:t>
      </w:r>
      <w:r w:rsidR="00DE4710">
        <w:rPr>
          <w:rFonts w:ascii="Arial" w:hAnsi="Arial" w:cs="Arial"/>
        </w:rPr>
        <w:t>tro</w:t>
      </w:r>
      <w:r>
        <w:rPr>
          <w:rFonts w:ascii="Arial" w:hAnsi="Arial" w:cs="Arial"/>
        </w:rPr>
        <w:t xml:space="preserve">škovi uredskog materijala ,nabava namirnica i materijala za čišćenje nije se nabavljalo sitnog inventara ,raspolagalo se štedljivo u 2020.g. </w:t>
      </w:r>
    </w:p>
    <w:p w:rsidR="00F93E56" w:rsidRDefault="007A7DC6" w:rsidP="00ED50C2">
      <w:pPr>
        <w:rPr>
          <w:rFonts w:ascii="Arial" w:hAnsi="Arial" w:cs="Arial"/>
        </w:rPr>
      </w:pPr>
      <w:r>
        <w:rPr>
          <w:rFonts w:ascii="Arial" w:hAnsi="Arial" w:cs="Arial"/>
        </w:rPr>
        <w:t>Aop174-</w:t>
      </w:r>
      <w:r w:rsidR="00A07B69">
        <w:rPr>
          <w:rFonts w:ascii="Arial" w:hAnsi="Arial" w:cs="Arial"/>
        </w:rPr>
        <w:t>181 R</w:t>
      </w:r>
      <w:r>
        <w:rPr>
          <w:rFonts w:ascii="Arial" w:hAnsi="Arial" w:cs="Arial"/>
        </w:rPr>
        <w:t xml:space="preserve">ashodi za usluge </w:t>
      </w:r>
      <w:r w:rsidR="003A785B">
        <w:rPr>
          <w:rFonts w:ascii="Arial" w:hAnsi="Arial" w:cs="Arial"/>
        </w:rPr>
        <w:t>-</w:t>
      </w:r>
      <w:r>
        <w:rPr>
          <w:rFonts w:ascii="Arial" w:hAnsi="Arial" w:cs="Arial"/>
        </w:rPr>
        <w:t xml:space="preserve"> </w:t>
      </w:r>
      <w:r w:rsidR="00A07B69">
        <w:rPr>
          <w:rFonts w:ascii="Arial" w:hAnsi="Arial" w:cs="Arial"/>
        </w:rPr>
        <w:t xml:space="preserve">izvršeno je 6,5% </w:t>
      </w:r>
      <w:r>
        <w:rPr>
          <w:rFonts w:ascii="Arial" w:hAnsi="Arial" w:cs="Arial"/>
        </w:rPr>
        <w:t>više od prošlogodišnjeg izvršenja</w:t>
      </w:r>
      <w:r w:rsidR="00A07B69">
        <w:rPr>
          <w:rFonts w:ascii="Arial" w:hAnsi="Arial" w:cs="Arial"/>
        </w:rPr>
        <w:t xml:space="preserve">, veći su rashodi usluge telefona, </w:t>
      </w:r>
      <w:r w:rsidR="00984083">
        <w:rPr>
          <w:rFonts w:ascii="Arial" w:hAnsi="Arial" w:cs="Arial"/>
        </w:rPr>
        <w:t>znatnije povećanje je na rashodim</w:t>
      </w:r>
      <w:r w:rsidR="00F93E56">
        <w:rPr>
          <w:rFonts w:ascii="Arial" w:hAnsi="Arial" w:cs="Arial"/>
        </w:rPr>
        <w:t xml:space="preserve">a zdravstvene usluge jer je </w:t>
      </w:r>
      <w:r w:rsidR="003A785B">
        <w:rPr>
          <w:rFonts w:ascii="Arial" w:hAnsi="Arial" w:cs="Arial"/>
        </w:rPr>
        <w:t xml:space="preserve">pored redovnih mikrobioloških </w:t>
      </w:r>
      <w:r w:rsidR="00F93E56">
        <w:rPr>
          <w:rFonts w:ascii="Arial" w:hAnsi="Arial" w:cs="Arial"/>
        </w:rPr>
        <w:t xml:space="preserve">testiranja knjižen </w:t>
      </w:r>
      <w:r w:rsidR="003A785B">
        <w:rPr>
          <w:rFonts w:ascii="Arial" w:hAnsi="Arial" w:cs="Arial"/>
        </w:rPr>
        <w:t>rashod sistematskog pregleda svih zaposlenih, nadalje intelektualne usluge su veće radi sklapanja ugovora o djelu za kreativne radionice</w:t>
      </w:r>
      <w:r w:rsidR="00F93E56">
        <w:rPr>
          <w:rFonts w:ascii="Arial" w:hAnsi="Arial" w:cs="Arial"/>
        </w:rPr>
        <w:t xml:space="preserve"> koje su financirane vlastitim sredstvima.</w:t>
      </w:r>
      <w:r w:rsidR="003A785B">
        <w:rPr>
          <w:rFonts w:ascii="Arial" w:hAnsi="Arial" w:cs="Arial"/>
        </w:rPr>
        <w:t xml:space="preserve"> </w:t>
      </w:r>
    </w:p>
    <w:p w:rsidR="007A7DC6" w:rsidRDefault="00F93E56" w:rsidP="00ED50C2">
      <w:pPr>
        <w:rPr>
          <w:rFonts w:ascii="Arial" w:hAnsi="Arial" w:cs="Arial"/>
        </w:rPr>
      </w:pPr>
      <w:r>
        <w:rPr>
          <w:rFonts w:ascii="Arial" w:hAnsi="Arial" w:cs="Arial"/>
        </w:rPr>
        <w:t>Aop184</w:t>
      </w:r>
      <w:r w:rsidR="00174104">
        <w:rPr>
          <w:rFonts w:ascii="Arial" w:hAnsi="Arial" w:cs="Arial"/>
        </w:rPr>
        <w:t>-konto 324</w:t>
      </w:r>
      <w:r>
        <w:rPr>
          <w:rFonts w:ascii="Arial" w:hAnsi="Arial" w:cs="Arial"/>
        </w:rPr>
        <w:t xml:space="preserve"> </w:t>
      </w:r>
      <w:r w:rsidR="003A785B">
        <w:rPr>
          <w:rFonts w:ascii="Arial" w:hAnsi="Arial" w:cs="Arial"/>
        </w:rPr>
        <w:t>naknade troškova osobama izvan radnog odnosa ,odnosi se na osobu na stručnom osposobljavanju koja je u mjesecu kolovozu prekinula ugovor radi zapošljavanja u drugoj ustanovi.</w:t>
      </w:r>
    </w:p>
    <w:p w:rsidR="0068678B" w:rsidRDefault="00433BF3" w:rsidP="00F12BC6">
      <w:pPr>
        <w:spacing w:after="0"/>
        <w:rPr>
          <w:rFonts w:ascii="Arial" w:hAnsi="Arial" w:cs="Arial"/>
        </w:rPr>
      </w:pPr>
      <w:r w:rsidRPr="00CB15F4">
        <w:rPr>
          <w:rFonts w:ascii="Arial" w:hAnsi="Arial" w:cs="Arial"/>
        </w:rPr>
        <w:t>Aop185</w:t>
      </w:r>
      <w:r w:rsidR="00F93E56">
        <w:rPr>
          <w:rFonts w:ascii="Arial" w:hAnsi="Arial" w:cs="Arial"/>
        </w:rPr>
        <w:t>-192- O</w:t>
      </w:r>
      <w:r w:rsidR="004D668B">
        <w:rPr>
          <w:rFonts w:ascii="Arial" w:hAnsi="Arial" w:cs="Arial"/>
        </w:rPr>
        <w:t>stali nespomenuti rashodi poslovanja –</w:t>
      </w:r>
      <w:r w:rsidR="0068678B">
        <w:rPr>
          <w:rFonts w:ascii="Arial" w:hAnsi="Arial" w:cs="Arial"/>
        </w:rPr>
        <w:t>izvršenje je manje za 3</w:t>
      </w:r>
      <w:r w:rsidR="00F93E56">
        <w:rPr>
          <w:rFonts w:ascii="Arial" w:hAnsi="Arial" w:cs="Arial"/>
        </w:rPr>
        <w:t>1</w:t>
      </w:r>
      <w:r w:rsidR="0068678B">
        <w:rPr>
          <w:rFonts w:ascii="Arial" w:hAnsi="Arial" w:cs="Arial"/>
        </w:rPr>
        <w:t xml:space="preserve">% </w:t>
      </w:r>
    </w:p>
    <w:p w:rsidR="0068678B" w:rsidRDefault="00F93E56" w:rsidP="00F12BC6">
      <w:pPr>
        <w:spacing w:after="0"/>
        <w:rPr>
          <w:rFonts w:ascii="Arial" w:hAnsi="Arial" w:cs="Arial"/>
        </w:rPr>
      </w:pPr>
      <w:r>
        <w:rPr>
          <w:rFonts w:ascii="Arial" w:hAnsi="Arial" w:cs="Arial"/>
        </w:rPr>
        <w:t xml:space="preserve">Rashodi su ; </w:t>
      </w:r>
      <w:r w:rsidR="0068678B">
        <w:rPr>
          <w:rFonts w:ascii="Arial" w:hAnsi="Arial" w:cs="Arial"/>
        </w:rPr>
        <w:t>Premije osiguranja-police osiguranja djece, zaposlenih i imovine</w:t>
      </w:r>
    </w:p>
    <w:p w:rsidR="00EB096B" w:rsidRDefault="00F93E56" w:rsidP="00F12BC6">
      <w:pPr>
        <w:spacing w:after="0"/>
        <w:rPr>
          <w:rFonts w:ascii="Arial" w:hAnsi="Arial" w:cs="Arial"/>
        </w:rPr>
      </w:pPr>
      <w:r>
        <w:rPr>
          <w:rFonts w:ascii="Arial" w:hAnsi="Arial" w:cs="Arial"/>
        </w:rPr>
        <w:t>r</w:t>
      </w:r>
      <w:r w:rsidR="0068678B">
        <w:rPr>
          <w:rFonts w:ascii="Arial" w:hAnsi="Arial" w:cs="Arial"/>
        </w:rPr>
        <w:t>eprezent</w:t>
      </w:r>
      <w:r>
        <w:rPr>
          <w:rFonts w:ascii="Arial" w:hAnsi="Arial" w:cs="Arial"/>
        </w:rPr>
        <w:t>acija ,o</w:t>
      </w:r>
      <w:r w:rsidR="0068678B">
        <w:rPr>
          <w:rFonts w:ascii="Arial" w:hAnsi="Arial" w:cs="Arial"/>
        </w:rPr>
        <w:t>stali nespomenuti rashodi poslovanja-</w:t>
      </w:r>
      <w:r>
        <w:rPr>
          <w:rFonts w:ascii="Arial" w:hAnsi="Arial" w:cs="Arial"/>
        </w:rPr>
        <w:t>31</w:t>
      </w:r>
      <w:r w:rsidR="00EB096B">
        <w:rPr>
          <w:rFonts w:ascii="Arial" w:hAnsi="Arial" w:cs="Arial"/>
        </w:rPr>
        <w:t>% manja realizacija u odnosu na 201</w:t>
      </w:r>
      <w:r w:rsidR="00FB419E">
        <w:rPr>
          <w:rFonts w:ascii="Arial" w:hAnsi="Arial" w:cs="Arial"/>
        </w:rPr>
        <w:t xml:space="preserve">9.g. a odnosi se na </w:t>
      </w:r>
      <w:r w:rsidR="004B1A89">
        <w:rPr>
          <w:rFonts w:ascii="Arial" w:hAnsi="Arial" w:cs="Arial"/>
        </w:rPr>
        <w:t>nabavu</w:t>
      </w:r>
      <w:r w:rsidR="00EB096B">
        <w:rPr>
          <w:rFonts w:ascii="Arial" w:hAnsi="Arial" w:cs="Arial"/>
        </w:rPr>
        <w:t xml:space="preserve"> didaktike ,izrada fotografija i mapa, prist</w:t>
      </w:r>
      <w:r w:rsidR="004B1A89">
        <w:rPr>
          <w:rFonts w:ascii="Arial" w:hAnsi="Arial" w:cs="Arial"/>
        </w:rPr>
        <w:t xml:space="preserve">ojba HRT , </w:t>
      </w:r>
      <w:r w:rsidR="00F12BC6">
        <w:rPr>
          <w:rFonts w:ascii="Arial" w:hAnsi="Arial" w:cs="Arial"/>
        </w:rPr>
        <w:t>certifikat za uslugu eračun.</w:t>
      </w:r>
    </w:p>
    <w:p w:rsidR="00BB336B" w:rsidRDefault="0068678B" w:rsidP="00ED50C2">
      <w:pPr>
        <w:rPr>
          <w:rFonts w:ascii="Arial" w:hAnsi="Arial" w:cs="Arial"/>
        </w:rPr>
      </w:pPr>
      <w:r>
        <w:rPr>
          <w:rFonts w:ascii="Arial" w:hAnsi="Arial" w:cs="Arial"/>
        </w:rPr>
        <w:t xml:space="preserve"> </w:t>
      </w:r>
    </w:p>
    <w:p w:rsidR="004D668B" w:rsidRDefault="00B432A0" w:rsidP="00B432A0">
      <w:pPr>
        <w:spacing w:after="0" w:line="240" w:lineRule="auto"/>
        <w:rPr>
          <w:rFonts w:ascii="Arial" w:hAnsi="Arial" w:cs="Arial"/>
        </w:rPr>
      </w:pPr>
      <w:r>
        <w:rPr>
          <w:rFonts w:ascii="Arial" w:hAnsi="Arial" w:cs="Arial"/>
        </w:rPr>
        <w:t>Aop 354</w:t>
      </w:r>
      <w:r w:rsidR="00BB336B">
        <w:rPr>
          <w:rFonts w:ascii="Arial" w:hAnsi="Arial" w:cs="Arial"/>
        </w:rPr>
        <w:t>-</w:t>
      </w:r>
      <w:r>
        <w:rPr>
          <w:rFonts w:ascii="Arial" w:hAnsi="Arial" w:cs="Arial"/>
        </w:rPr>
        <w:t>R</w:t>
      </w:r>
      <w:r w:rsidR="00BB336B">
        <w:rPr>
          <w:rFonts w:ascii="Arial" w:hAnsi="Arial" w:cs="Arial"/>
        </w:rPr>
        <w:t xml:space="preserve">ashodi za nabavku nefinancijske imovine- </w:t>
      </w:r>
      <w:r>
        <w:rPr>
          <w:rFonts w:ascii="Arial" w:hAnsi="Arial" w:cs="Arial"/>
        </w:rPr>
        <w:t xml:space="preserve">u 2020.g. nije bilo nabavki </w:t>
      </w:r>
    </w:p>
    <w:p w:rsidR="000C6E7F" w:rsidRDefault="000C6E7F" w:rsidP="00BB336B">
      <w:pPr>
        <w:spacing w:after="0" w:line="240" w:lineRule="auto"/>
        <w:rPr>
          <w:rFonts w:ascii="Arial" w:hAnsi="Arial" w:cs="Arial"/>
        </w:rPr>
      </w:pPr>
    </w:p>
    <w:p w:rsidR="000C6E7F" w:rsidRDefault="006D15BC" w:rsidP="00ED50C2">
      <w:pPr>
        <w:rPr>
          <w:rFonts w:ascii="Arial" w:hAnsi="Arial" w:cs="Arial"/>
        </w:rPr>
      </w:pPr>
      <w:r w:rsidRPr="00CB15F4">
        <w:rPr>
          <w:rFonts w:ascii="Arial" w:hAnsi="Arial" w:cs="Arial"/>
        </w:rPr>
        <w:t xml:space="preserve">Aop 629-635 </w:t>
      </w:r>
      <w:r w:rsidR="000C6E7F">
        <w:rPr>
          <w:rFonts w:ascii="Arial" w:hAnsi="Arial" w:cs="Arial"/>
        </w:rPr>
        <w:t>–</w:t>
      </w:r>
      <w:r w:rsidR="00B1145E">
        <w:rPr>
          <w:rFonts w:ascii="Arial" w:hAnsi="Arial" w:cs="Arial"/>
        </w:rPr>
        <w:t>S</w:t>
      </w:r>
      <w:r w:rsidR="00F02099">
        <w:rPr>
          <w:rFonts w:ascii="Arial" w:hAnsi="Arial" w:cs="Arial"/>
        </w:rPr>
        <w:t xml:space="preserve">učeljavanjem ukupnih prihoda i primitaka u iznosu od </w:t>
      </w:r>
      <w:r w:rsidR="00B1145E">
        <w:rPr>
          <w:rFonts w:ascii="Arial" w:hAnsi="Arial" w:cs="Arial"/>
        </w:rPr>
        <w:t>966.643</w:t>
      </w:r>
      <w:r w:rsidR="00F02099">
        <w:rPr>
          <w:rFonts w:ascii="Arial" w:hAnsi="Arial" w:cs="Arial"/>
        </w:rPr>
        <w:t xml:space="preserve"> kuna te ukupnih rashod</w:t>
      </w:r>
      <w:r w:rsidR="00B1145E">
        <w:rPr>
          <w:rFonts w:ascii="Arial" w:hAnsi="Arial" w:cs="Arial"/>
        </w:rPr>
        <w:t>a i izdataka u iznosu od 96.088</w:t>
      </w:r>
      <w:r w:rsidR="00F02099">
        <w:rPr>
          <w:rFonts w:ascii="Arial" w:hAnsi="Arial" w:cs="Arial"/>
        </w:rPr>
        <w:t xml:space="preserve"> kuna rezultat u fiskalnoj godini iznosi </w:t>
      </w:r>
      <w:r w:rsidR="00B1145E">
        <w:rPr>
          <w:rFonts w:ascii="Arial" w:hAnsi="Arial" w:cs="Arial"/>
        </w:rPr>
        <w:t>višak</w:t>
      </w:r>
      <w:r w:rsidR="00F02099">
        <w:rPr>
          <w:rFonts w:ascii="Arial" w:hAnsi="Arial" w:cs="Arial"/>
        </w:rPr>
        <w:t xml:space="preserve"> od </w:t>
      </w:r>
      <w:r w:rsidR="00B1145E">
        <w:rPr>
          <w:rFonts w:ascii="Arial" w:hAnsi="Arial" w:cs="Arial"/>
        </w:rPr>
        <w:t>555</w:t>
      </w:r>
      <w:r w:rsidR="00F02099">
        <w:rPr>
          <w:rFonts w:ascii="Arial" w:hAnsi="Arial" w:cs="Arial"/>
        </w:rPr>
        <w:t xml:space="preserve"> kuna uz prenijeti višak prihoda iz 20</w:t>
      </w:r>
      <w:r w:rsidR="00B1145E">
        <w:rPr>
          <w:rFonts w:ascii="Arial" w:hAnsi="Arial" w:cs="Arial"/>
        </w:rPr>
        <w:t>19</w:t>
      </w:r>
      <w:r w:rsidR="00F02099">
        <w:rPr>
          <w:rFonts w:ascii="Arial" w:hAnsi="Arial" w:cs="Arial"/>
        </w:rPr>
        <w:t xml:space="preserve">.g. u iznosu od </w:t>
      </w:r>
      <w:r w:rsidR="00B1145E">
        <w:rPr>
          <w:rFonts w:ascii="Arial" w:hAnsi="Arial" w:cs="Arial"/>
        </w:rPr>
        <w:t>11.872,</w:t>
      </w:r>
      <w:r w:rsidR="00F02099">
        <w:rPr>
          <w:rFonts w:ascii="Arial" w:hAnsi="Arial" w:cs="Arial"/>
        </w:rPr>
        <w:t xml:space="preserve"> rezultat poslovanja iznosi  </w:t>
      </w:r>
      <w:r w:rsidR="00B1145E">
        <w:rPr>
          <w:rFonts w:ascii="Arial" w:hAnsi="Arial" w:cs="Arial"/>
        </w:rPr>
        <w:t>12.427</w:t>
      </w:r>
      <w:r w:rsidR="00F02099">
        <w:rPr>
          <w:rFonts w:ascii="Arial" w:hAnsi="Arial" w:cs="Arial"/>
        </w:rPr>
        <w:t xml:space="preserve"> kune viška prihoda raspoloživih u slijedećem razdoblju.</w:t>
      </w:r>
    </w:p>
    <w:p w:rsidR="00F02099" w:rsidRDefault="00F02099" w:rsidP="00ED50C2">
      <w:pPr>
        <w:rPr>
          <w:rFonts w:ascii="Arial" w:hAnsi="Arial" w:cs="Arial"/>
        </w:rPr>
      </w:pPr>
      <w:r>
        <w:rPr>
          <w:rFonts w:ascii="Arial" w:hAnsi="Arial" w:cs="Arial"/>
        </w:rPr>
        <w:lastRenderedPageBreak/>
        <w:t xml:space="preserve">Broj zaposlenih u </w:t>
      </w:r>
      <w:r w:rsidR="00B1145E">
        <w:rPr>
          <w:rFonts w:ascii="Arial" w:hAnsi="Arial" w:cs="Arial"/>
        </w:rPr>
        <w:t>2020</w:t>
      </w:r>
      <w:r>
        <w:rPr>
          <w:rFonts w:ascii="Arial" w:hAnsi="Arial" w:cs="Arial"/>
        </w:rPr>
        <w:t>.g. je 7 na neodređeno v</w:t>
      </w:r>
      <w:r w:rsidR="00B1145E">
        <w:rPr>
          <w:rFonts w:ascii="Arial" w:hAnsi="Arial" w:cs="Arial"/>
        </w:rPr>
        <w:t>rijeme i 1 osoba po ugovoru na stručnom osposobljavanju</w:t>
      </w:r>
    </w:p>
    <w:p w:rsidR="004066F8" w:rsidRPr="00CB15F4" w:rsidRDefault="00EB6940" w:rsidP="00ED50C2">
      <w:pPr>
        <w:rPr>
          <w:rFonts w:ascii="Arial" w:hAnsi="Arial" w:cs="Arial"/>
          <w:b/>
        </w:rPr>
      </w:pPr>
      <w:r>
        <w:rPr>
          <w:rFonts w:ascii="Arial" w:hAnsi="Arial" w:cs="Arial"/>
          <w:b/>
        </w:rPr>
        <w:t>Bilješka br.2</w:t>
      </w:r>
    </w:p>
    <w:p w:rsidR="003844DB" w:rsidRDefault="004066F8" w:rsidP="006D15BC">
      <w:pPr>
        <w:spacing w:after="0"/>
        <w:rPr>
          <w:rFonts w:ascii="Arial" w:hAnsi="Arial" w:cs="Arial"/>
          <w:b/>
        </w:rPr>
      </w:pPr>
      <w:r w:rsidRPr="00EB6940">
        <w:rPr>
          <w:rFonts w:ascii="Arial" w:hAnsi="Arial" w:cs="Arial"/>
          <w:b/>
        </w:rPr>
        <w:t xml:space="preserve">Obrazac BIL </w:t>
      </w:r>
    </w:p>
    <w:p w:rsidR="006939B0" w:rsidRPr="006939B0" w:rsidRDefault="006939B0" w:rsidP="006D15BC">
      <w:pPr>
        <w:spacing w:after="0"/>
        <w:rPr>
          <w:rFonts w:ascii="Arial" w:hAnsi="Arial" w:cs="Arial"/>
        </w:rPr>
      </w:pPr>
      <w:r w:rsidRPr="006939B0">
        <w:rPr>
          <w:rFonts w:ascii="Arial" w:hAnsi="Arial" w:cs="Arial"/>
        </w:rPr>
        <w:t xml:space="preserve"> </w:t>
      </w:r>
    </w:p>
    <w:p w:rsidR="00234F03" w:rsidRDefault="006D15BC" w:rsidP="003844DB">
      <w:pPr>
        <w:pStyle w:val="Bezproreda"/>
        <w:rPr>
          <w:rFonts w:ascii="Arial" w:hAnsi="Arial" w:cs="Arial"/>
          <w:color w:val="595959" w:themeColor="text1" w:themeTint="A6"/>
          <w:sz w:val="20"/>
          <w:szCs w:val="20"/>
        </w:rPr>
      </w:pPr>
      <w:r w:rsidRPr="003D44D1">
        <w:rPr>
          <w:rFonts w:ascii="Arial" w:hAnsi="Arial" w:cs="Arial"/>
          <w:color w:val="595959" w:themeColor="text1" w:themeTint="A6"/>
          <w:sz w:val="20"/>
          <w:szCs w:val="20"/>
        </w:rPr>
        <w:t>Aop 001 I</w:t>
      </w:r>
      <w:r w:rsidR="00F02099" w:rsidRPr="003D44D1">
        <w:rPr>
          <w:rFonts w:ascii="Arial" w:hAnsi="Arial" w:cs="Arial"/>
          <w:color w:val="595959" w:themeColor="text1" w:themeTint="A6"/>
          <w:sz w:val="20"/>
          <w:szCs w:val="20"/>
        </w:rPr>
        <w:t>movina –stanje na dan 31.12.20</w:t>
      </w:r>
      <w:r w:rsidR="00234F03">
        <w:rPr>
          <w:rFonts w:ascii="Arial" w:hAnsi="Arial" w:cs="Arial"/>
          <w:color w:val="595959" w:themeColor="text1" w:themeTint="A6"/>
          <w:sz w:val="20"/>
          <w:szCs w:val="20"/>
        </w:rPr>
        <w:t>20</w:t>
      </w:r>
      <w:r w:rsidR="003D44D1">
        <w:rPr>
          <w:rFonts w:ascii="Arial" w:hAnsi="Arial" w:cs="Arial"/>
          <w:color w:val="595959" w:themeColor="text1" w:themeTint="A6"/>
          <w:sz w:val="20"/>
          <w:szCs w:val="20"/>
        </w:rPr>
        <w:t xml:space="preserve">.g. </w:t>
      </w:r>
      <w:r w:rsidR="00234F03">
        <w:rPr>
          <w:rFonts w:ascii="Arial" w:hAnsi="Arial" w:cs="Arial"/>
          <w:color w:val="595959" w:themeColor="text1" w:themeTint="A6"/>
          <w:sz w:val="20"/>
          <w:szCs w:val="20"/>
        </w:rPr>
        <w:t xml:space="preserve">163.243 </w:t>
      </w:r>
      <w:r w:rsidR="003D44D1">
        <w:rPr>
          <w:rFonts w:ascii="Arial" w:hAnsi="Arial" w:cs="Arial"/>
          <w:color w:val="595959" w:themeColor="text1" w:themeTint="A6"/>
          <w:sz w:val="20"/>
          <w:szCs w:val="20"/>
        </w:rPr>
        <w:t>manje</w:t>
      </w:r>
      <w:r w:rsidRPr="003D44D1">
        <w:rPr>
          <w:rFonts w:ascii="Arial" w:hAnsi="Arial" w:cs="Arial"/>
          <w:color w:val="595959" w:themeColor="text1" w:themeTint="A6"/>
          <w:sz w:val="20"/>
          <w:szCs w:val="20"/>
        </w:rPr>
        <w:t xml:space="preserve"> je za </w:t>
      </w:r>
      <w:r w:rsidR="00234F03">
        <w:rPr>
          <w:rFonts w:ascii="Arial" w:hAnsi="Arial" w:cs="Arial"/>
          <w:color w:val="595959" w:themeColor="text1" w:themeTint="A6"/>
          <w:sz w:val="20"/>
          <w:szCs w:val="20"/>
        </w:rPr>
        <w:t>8,4</w:t>
      </w:r>
      <w:r w:rsidR="00F02099" w:rsidRPr="003D44D1">
        <w:rPr>
          <w:rFonts w:ascii="Arial" w:hAnsi="Arial" w:cs="Arial"/>
          <w:color w:val="595959" w:themeColor="text1" w:themeTint="A6"/>
          <w:sz w:val="20"/>
          <w:szCs w:val="20"/>
        </w:rPr>
        <w:t>%</w:t>
      </w:r>
      <w:r w:rsidR="00234F03">
        <w:rPr>
          <w:rFonts w:ascii="Arial" w:hAnsi="Arial" w:cs="Arial"/>
          <w:color w:val="595959" w:themeColor="text1" w:themeTint="A6"/>
          <w:sz w:val="20"/>
          <w:szCs w:val="20"/>
        </w:rPr>
        <w:t xml:space="preserve"> </w:t>
      </w:r>
      <w:r w:rsidR="003D44D1">
        <w:rPr>
          <w:rFonts w:ascii="Arial" w:hAnsi="Arial" w:cs="Arial"/>
          <w:color w:val="595959" w:themeColor="text1" w:themeTint="A6"/>
          <w:sz w:val="20"/>
          <w:szCs w:val="20"/>
        </w:rPr>
        <w:t>sukladno evi</w:t>
      </w:r>
      <w:r w:rsidR="00234F03">
        <w:rPr>
          <w:rFonts w:ascii="Arial" w:hAnsi="Arial" w:cs="Arial"/>
          <w:color w:val="595959" w:themeColor="text1" w:themeTint="A6"/>
          <w:sz w:val="20"/>
          <w:szCs w:val="20"/>
        </w:rPr>
        <w:t>dentiranju ispravka vrijednosti ,kako u 2020.g. nije bilo nabave imovine tako je indeks stanja u padu</w:t>
      </w:r>
    </w:p>
    <w:p w:rsidR="006D15BC" w:rsidRPr="003D44D1" w:rsidRDefault="00234F03" w:rsidP="003844DB">
      <w:pPr>
        <w:pStyle w:val="Bezproreda"/>
        <w:rPr>
          <w:rFonts w:ascii="Arial" w:hAnsi="Arial" w:cs="Arial"/>
          <w:color w:val="595959" w:themeColor="text1" w:themeTint="A6"/>
          <w:sz w:val="20"/>
          <w:szCs w:val="20"/>
        </w:rPr>
      </w:pPr>
      <w:r>
        <w:rPr>
          <w:rFonts w:ascii="Arial" w:hAnsi="Arial" w:cs="Arial"/>
          <w:color w:val="595959" w:themeColor="text1" w:themeTint="A6"/>
          <w:sz w:val="20"/>
          <w:szCs w:val="20"/>
        </w:rPr>
        <w:t xml:space="preserve"> </w:t>
      </w:r>
    </w:p>
    <w:p w:rsidR="00DA729A" w:rsidRPr="00CB15F4" w:rsidRDefault="0039313D" w:rsidP="00ED50C2">
      <w:pPr>
        <w:rPr>
          <w:rFonts w:ascii="Arial" w:hAnsi="Arial" w:cs="Arial"/>
        </w:rPr>
      </w:pPr>
      <w:r w:rsidRPr="003D44D1">
        <w:rPr>
          <w:rFonts w:ascii="Arial" w:eastAsia="Calibri" w:hAnsi="Arial" w:cs="Arial"/>
          <w:color w:val="595959" w:themeColor="text1" w:themeTint="A6"/>
          <w:lang w:eastAsia="en-US"/>
        </w:rPr>
        <w:t xml:space="preserve">Aop 063 </w:t>
      </w:r>
      <w:r w:rsidR="00A10DB4">
        <w:rPr>
          <w:rFonts w:ascii="Arial" w:eastAsia="Calibri" w:hAnsi="Arial" w:cs="Arial"/>
          <w:color w:val="595959" w:themeColor="text1" w:themeTint="A6"/>
          <w:lang w:eastAsia="en-US"/>
        </w:rPr>
        <w:t>Financijska imovina-n</w:t>
      </w:r>
      <w:r w:rsidR="003844DB" w:rsidRPr="003D44D1">
        <w:rPr>
          <w:rFonts w:ascii="Arial" w:hAnsi="Arial" w:cs="Arial"/>
          <w:color w:val="595959" w:themeColor="text1" w:themeTint="A6"/>
        </w:rPr>
        <w:t>ovčan</w:t>
      </w:r>
      <w:r w:rsidRPr="003D44D1">
        <w:rPr>
          <w:rFonts w:ascii="Arial" w:hAnsi="Arial" w:cs="Arial"/>
          <w:color w:val="595959" w:themeColor="text1" w:themeTint="A6"/>
        </w:rPr>
        <w:t>a s</w:t>
      </w:r>
      <w:r w:rsidRPr="00CB15F4">
        <w:rPr>
          <w:rFonts w:ascii="Arial" w:hAnsi="Arial" w:cs="Arial"/>
        </w:rPr>
        <w:t>redstva na žiro-računu</w:t>
      </w:r>
      <w:r w:rsidR="00A10DB4">
        <w:rPr>
          <w:rFonts w:ascii="Arial" w:hAnsi="Arial" w:cs="Arial"/>
        </w:rPr>
        <w:t xml:space="preserve"> iznose</w:t>
      </w:r>
      <w:r w:rsidR="007C73F2">
        <w:rPr>
          <w:rFonts w:ascii="Arial" w:hAnsi="Arial" w:cs="Arial"/>
        </w:rPr>
        <w:t xml:space="preserve"> </w:t>
      </w:r>
      <w:r w:rsidR="00A10DB4">
        <w:rPr>
          <w:rFonts w:ascii="Arial" w:hAnsi="Arial" w:cs="Arial"/>
        </w:rPr>
        <w:t>18.716,73</w:t>
      </w:r>
      <w:r w:rsidR="00DA729A" w:rsidRPr="00CB15F4">
        <w:rPr>
          <w:rFonts w:ascii="Arial" w:hAnsi="Arial" w:cs="Arial"/>
        </w:rPr>
        <w:t>kn te</w:t>
      </w:r>
      <w:r w:rsidR="003D44D1">
        <w:rPr>
          <w:rFonts w:ascii="Arial" w:hAnsi="Arial" w:cs="Arial"/>
        </w:rPr>
        <w:t xml:space="preserve"> stanje na blagajni iznosi </w:t>
      </w:r>
      <w:r w:rsidR="00A10DB4">
        <w:rPr>
          <w:rFonts w:ascii="Arial" w:hAnsi="Arial" w:cs="Arial"/>
        </w:rPr>
        <w:t>346,21</w:t>
      </w:r>
      <w:r w:rsidR="00DA729A" w:rsidRPr="00CB15F4">
        <w:rPr>
          <w:rFonts w:ascii="Arial" w:hAnsi="Arial" w:cs="Arial"/>
        </w:rPr>
        <w:t xml:space="preserve">kn </w:t>
      </w:r>
      <w:r w:rsidR="003D44D1">
        <w:rPr>
          <w:rFonts w:ascii="Arial" w:hAnsi="Arial" w:cs="Arial"/>
        </w:rPr>
        <w:t xml:space="preserve">–vlastita </w:t>
      </w:r>
      <w:r w:rsidR="00DA729A" w:rsidRPr="00CB15F4">
        <w:rPr>
          <w:rFonts w:ascii="Arial" w:hAnsi="Arial" w:cs="Arial"/>
        </w:rPr>
        <w:t>sredstva će se utrošiti u siječnju 20</w:t>
      </w:r>
      <w:r w:rsidR="003D44D1">
        <w:rPr>
          <w:rFonts w:ascii="Arial" w:hAnsi="Arial" w:cs="Arial"/>
        </w:rPr>
        <w:t>2</w:t>
      </w:r>
      <w:r w:rsidR="00A10DB4">
        <w:rPr>
          <w:rFonts w:ascii="Arial" w:hAnsi="Arial" w:cs="Arial"/>
        </w:rPr>
        <w:t>1</w:t>
      </w:r>
      <w:r w:rsidR="00DA729A" w:rsidRPr="00CB15F4">
        <w:rPr>
          <w:rFonts w:ascii="Arial" w:hAnsi="Arial" w:cs="Arial"/>
        </w:rPr>
        <w:t>.g. za pokriće nastalih obveza u</w:t>
      </w:r>
      <w:r w:rsidR="00A10DB4">
        <w:rPr>
          <w:rFonts w:ascii="Arial" w:hAnsi="Arial" w:cs="Arial"/>
        </w:rPr>
        <w:t xml:space="preserve"> prosincu i podmirivanja tekućih obveza</w:t>
      </w:r>
    </w:p>
    <w:p w:rsidR="003D44D1" w:rsidRDefault="00A10DB4" w:rsidP="00ED50C2">
      <w:pPr>
        <w:rPr>
          <w:rFonts w:ascii="Arial" w:hAnsi="Arial" w:cs="Arial"/>
        </w:rPr>
      </w:pPr>
      <w:r>
        <w:rPr>
          <w:rFonts w:ascii="Arial" w:hAnsi="Arial" w:cs="Arial"/>
        </w:rPr>
        <w:t>Ao</w:t>
      </w:r>
      <w:r w:rsidR="00427BF2">
        <w:rPr>
          <w:rFonts w:ascii="Arial" w:hAnsi="Arial" w:cs="Arial"/>
        </w:rPr>
        <w:t>p 141-156</w:t>
      </w:r>
      <w:r>
        <w:rPr>
          <w:rFonts w:ascii="Arial" w:hAnsi="Arial" w:cs="Arial"/>
        </w:rPr>
        <w:t xml:space="preserve"> P</w:t>
      </w:r>
      <w:r w:rsidR="00FD4232" w:rsidRPr="00CB15F4">
        <w:rPr>
          <w:rFonts w:ascii="Arial" w:hAnsi="Arial" w:cs="Arial"/>
        </w:rPr>
        <w:t>otraživanja za</w:t>
      </w:r>
      <w:r w:rsidR="003D44D1">
        <w:rPr>
          <w:rFonts w:ascii="Arial" w:hAnsi="Arial" w:cs="Arial"/>
        </w:rPr>
        <w:t xml:space="preserve"> prihode p</w:t>
      </w:r>
      <w:r w:rsidR="00D846E4">
        <w:rPr>
          <w:rFonts w:ascii="Arial" w:hAnsi="Arial" w:cs="Arial"/>
        </w:rPr>
        <w:t xml:space="preserve">oslovanja iznose </w:t>
      </w:r>
      <w:r>
        <w:rPr>
          <w:rFonts w:ascii="Arial" w:hAnsi="Arial" w:cs="Arial"/>
        </w:rPr>
        <w:t>12.541</w:t>
      </w:r>
      <w:r w:rsidR="00D846E4">
        <w:rPr>
          <w:rFonts w:ascii="Arial" w:hAnsi="Arial" w:cs="Arial"/>
        </w:rPr>
        <w:t xml:space="preserve"> kuna, nedospjela potraživanja iznose 5.000,00kn po računu za donacije od INA d.d. Zagreb</w:t>
      </w:r>
      <w:r>
        <w:rPr>
          <w:rFonts w:ascii="Arial" w:hAnsi="Arial" w:cs="Arial"/>
        </w:rPr>
        <w:t xml:space="preserve"> ista je uplaćena u siječnju 2021.g.</w:t>
      </w:r>
      <w:r w:rsidR="00D846E4">
        <w:rPr>
          <w:rFonts w:ascii="Arial" w:hAnsi="Arial" w:cs="Arial"/>
        </w:rPr>
        <w:t>, te dospjela po</w:t>
      </w:r>
      <w:r>
        <w:rPr>
          <w:rFonts w:ascii="Arial" w:hAnsi="Arial" w:cs="Arial"/>
        </w:rPr>
        <w:t>traživanja u iznosu od 7.541,05</w:t>
      </w:r>
      <w:r w:rsidR="00D846E4">
        <w:rPr>
          <w:rFonts w:ascii="Arial" w:hAnsi="Arial" w:cs="Arial"/>
        </w:rPr>
        <w:t xml:space="preserve"> od roditelja za uslugu boravka djeteta u vrtiću, opomene se redovito upućuju roditeljima zajedno sa obračunom kamata.</w:t>
      </w:r>
    </w:p>
    <w:tbl>
      <w:tblPr>
        <w:tblW w:w="9939" w:type="dxa"/>
        <w:tblInd w:w="-30" w:type="dxa"/>
        <w:tblLayout w:type="fixed"/>
        <w:tblCellMar>
          <w:left w:w="30" w:type="dxa"/>
          <w:right w:w="30" w:type="dxa"/>
        </w:tblCellMar>
        <w:tblLook w:val="0000" w:firstRow="0" w:lastRow="0" w:firstColumn="0" w:lastColumn="0" w:noHBand="0" w:noVBand="0"/>
      </w:tblPr>
      <w:tblGrid>
        <w:gridCol w:w="798"/>
        <w:gridCol w:w="3322"/>
        <w:gridCol w:w="1208"/>
        <w:gridCol w:w="833"/>
        <w:gridCol w:w="1073"/>
        <w:gridCol w:w="1074"/>
        <w:gridCol w:w="833"/>
        <w:gridCol w:w="798"/>
      </w:tblGrid>
      <w:tr w:rsidR="007639AB" w:rsidRPr="00344C8D" w:rsidTr="007639AB">
        <w:trPr>
          <w:trHeight w:val="231"/>
        </w:trPr>
        <w:tc>
          <w:tcPr>
            <w:tcW w:w="798"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p>
        </w:tc>
        <w:tc>
          <w:tcPr>
            <w:tcW w:w="3322"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p>
        </w:tc>
        <w:tc>
          <w:tcPr>
            <w:tcW w:w="1208"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Početno stanje</w:t>
            </w:r>
          </w:p>
        </w:tc>
        <w:tc>
          <w:tcPr>
            <w:tcW w:w="833"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p>
        </w:tc>
        <w:tc>
          <w:tcPr>
            <w:tcW w:w="1073"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Promet</w:t>
            </w:r>
          </w:p>
        </w:tc>
        <w:tc>
          <w:tcPr>
            <w:tcW w:w="1074"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p>
        </w:tc>
        <w:tc>
          <w:tcPr>
            <w:tcW w:w="833"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Saldo</w:t>
            </w:r>
          </w:p>
        </w:tc>
        <w:tc>
          <w:tcPr>
            <w:tcW w:w="798"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p>
        </w:tc>
      </w:tr>
      <w:tr w:rsidR="007639AB" w:rsidRPr="00344C8D" w:rsidTr="007639AB">
        <w:trPr>
          <w:trHeight w:val="231"/>
        </w:trPr>
        <w:tc>
          <w:tcPr>
            <w:tcW w:w="798"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Broj računa</w:t>
            </w:r>
          </w:p>
        </w:tc>
        <w:tc>
          <w:tcPr>
            <w:tcW w:w="3322"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Naziv računa</w:t>
            </w:r>
          </w:p>
        </w:tc>
        <w:tc>
          <w:tcPr>
            <w:tcW w:w="1208"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Duguje</w:t>
            </w:r>
          </w:p>
        </w:tc>
        <w:tc>
          <w:tcPr>
            <w:tcW w:w="833"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Potražuje</w:t>
            </w:r>
          </w:p>
        </w:tc>
        <w:tc>
          <w:tcPr>
            <w:tcW w:w="1073"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Duguje</w:t>
            </w:r>
          </w:p>
        </w:tc>
        <w:tc>
          <w:tcPr>
            <w:tcW w:w="1074"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Potražuje</w:t>
            </w:r>
          </w:p>
        </w:tc>
        <w:tc>
          <w:tcPr>
            <w:tcW w:w="833"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Duguje</w:t>
            </w:r>
          </w:p>
        </w:tc>
        <w:tc>
          <w:tcPr>
            <w:tcW w:w="798" w:type="dxa"/>
            <w:tcBorders>
              <w:top w:val="nil"/>
              <w:left w:val="nil"/>
              <w:bottom w:val="nil"/>
              <w:right w:val="nil"/>
            </w:tcBorders>
            <w:shd w:val="solid" w:color="80808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Potražuje</w:t>
            </w:r>
          </w:p>
        </w:tc>
      </w:tr>
      <w:tr w:rsidR="007639AB" w:rsidRPr="00344C8D" w:rsidTr="007639AB">
        <w:trPr>
          <w:trHeight w:val="231"/>
        </w:trPr>
        <w:tc>
          <w:tcPr>
            <w:tcW w:w="798" w:type="dxa"/>
            <w:tcBorders>
              <w:top w:val="nil"/>
              <w:left w:val="nil"/>
              <w:bottom w:val="nil"/>
              <w:right w:val="nil"/>
            </w:tcBorders>
            <w:shd w:val="solid" w:color="333333"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OSTALO</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p>
        </w:tc>
      </w:tr>
      <w:tr w:rsidR="007639AB" w:rsidRPr="00344C8D" w:rsidTr="007639AB">
        <w:trPr>
          <w:trHeight w:val="46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color w:val="000000"/>
                <w:sz w:val="14"/>
                <w:szCs w:val="14"/>
              </w:rPr>
            </w:pPr>
            <w:r w:rsidRPr="00344C8D">
              <w:rPr>
                <w:rFonts w:ascii="Arial" w:hAnsi="Arial" w:cs="Arial"/>
                <w:color w:val="000000"/>
                <w:sz w:val="14"/>
                <w:szCs w:val="14"/>
              </w:rPr>
              <w:t>111210</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color w:val="000000"/>
                <w:sz w:val="14"/>
                <w:szCs w:val="14"/>
              </w:rPr>
            </w:pPr>
            <w:r w:rsidRPr="00344C8D">
              <w:rPr>
                <w:rFonts w:ascii="Arial" w:hAnsi="Arial" w:cs="Arial"/>
                <w:color w:val="000000"/>
                <w:sz w:val="14"/>
                <w:szCs w:val="14"/>
              </w:rPr>
              <w:t xml:space="preserve">Novac na žiro-računu kod tuzemnih poslovnih banaka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21.740,92</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960.993,24</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964.017,43</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18.716,73</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r>
      <w:tr w:rsidR="007639AB" w:rsidRPr="00344C8D" w:rsidTr="007639AB">
        <w:trPr>
          <w:trHeight w:val="46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11121</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Novac na žiro-računu kod tuzemnih poslovnih banaka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21.740,92</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960.993,24</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964.017,43</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18.716,73</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46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1112</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Novac na računu kod tuzemnih poslovnih banaka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21.740,92</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960.993,24</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964.017,43</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18.716,73</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color w:val="000000"/>
                <w:sz w:val="14"/>
                <w:szCs w:val="14"/>
              </w:rPr>
            </w:pPr>
            <w:r w:rsidRPr="00344C8D">
              <w:rPr>
                <w:rFonts w:ascii="Arial" w:hAnsi="Arial" w:cs="Arial"/>
                <w:color w:val="000000"/>
                <w:sz w:val="14"/>
                <w:szCs w:val="14"/>
              </w:rPr>
              <w:t>111410</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color w:val="000000"/>
                <w:sz w:val="14"/>
                <w:szCs w:val="14"/>
              </w:rPr>
            </w:pPr>
            <w:r w:rsidRPr="00344C8D">
              <w:rPr>
                <w:rFonts w:ascii="Arial" w:hAnsi="Arial" w:cs="Arial"/>
                <w:color w:val="000000"/>
                <w:sz w:val="14"/>
                <w:szCs w:val="14"/>
              </w:rPr>
              <w:t xml:space="preserve">Prijelazni žiro-račun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6.500,00</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6.500,00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11141</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Prijelazni žiro-račun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6.500,00</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6.500,00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1114</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Prijelazni račun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6.500,00</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6.500,00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111</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Novac u banci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21.740,92</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967.493,24</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970.517,43</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18.716,73</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color w:val="000000"/>
                <w:sz w:val="14"/>
                <w:szCs w:val="14"/>
              </w:rPr>
            </w:pPr>
            <w:r w:rsidRPr="00344C8D">
              <w:rPr>
                <w:rFonts w:ascii="Arial" w:hAnsi="Arial" w:cs="Arial"/>
                <w:color w:val="000000"/>
                <w:sz w:val="14"/>
                <w:szCs w:val="14"/>
              </w:rPr>
              <w:t>113110</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color w:val="000000"/>
                <w:sz w:val="14"/>
                <w:szCs w:val="14"/>
              </w:rPr>
            </w:pPr>
            <w:r w:rsidRPr="00344C8D">
              <w:rPr>
                <w:rFonts w:ascii="Arial" w:hAnsi="Arial" w:cs="Arial"/>
                <w:color w:val="000000"/>
                <w:sz w:val="14"/>
                <w:szCs w:val="14"/>
              </w:rPr>
              <w:t xml:space="preserve">Kunska blagajna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973,65</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6.500,00</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7.127,44</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346,21</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11311</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Kunska blagajna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973,65</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6.500,00</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7.127,44</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346,21</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1131</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Blagajna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973,65</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6.500,00</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7.127,44</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346,21</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113</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Novac u blagajni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973,65</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6.500,00</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7.127,44</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346,21</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11</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Novac u banci i blagajni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22.714,57</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973.993,24</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977.644,87</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19.062,94</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color w:val="000000"/>
                <w:sz w:val="14"/>
                <w:szCs w:val="14"/>
              </w:rPr>
            </w:pPr>
            <w:r w:rsidRPr="00344C8D">
              <w:rPr>
                <w:rFonts w:ascii="Arial" w:hAnsi="Arial" w:cs="Arial"/>
                <w:color w:val="000000"/>
                <w:sz w:val="14"/>
                <w:szCs w:val="14"/>
              </w:rPr>
              <w:t>165260</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color w:val="000000"/>
                <w:sz w:val="14"/>
                <w:szCs w:val="14"/>
              </w:rPr>
            </w:pPr>
            <w:r w:rsidRPr="00344C8D">
              <w:rPr>
                <w:rFonts w:ascii="Arial" w:hAnsi="Arial" w:cs="Arial"/>
                <w:color w:val="000000"/>
                <w:sz w:val="14"/>
                <w:szCs w:val="14"/>
              </w:rPr>
              <w:t xml:space="preserve">Ostali nespomenuti prihodi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16.297,48</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196.354,63</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205.111,06</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7.541,05</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16526</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Ostali nespomenuti prihodi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16.297,48</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196.354,63</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205.111,06</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7.541,05</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46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1652</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Potraživanja za prihode po posebnim propisima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16.297,48</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196.354,63</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205.111,06</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7.541,05</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693"/>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165</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Potraživanja za upravne i administrativne pristojbe, pristojbe po posebnim propisima i naknade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16.297,48</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196.354,63</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205.111,06</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7.541,05</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color w:val="000000"/>
                <w:sz w:val="14"/>
                <w:szCs w:val="14"/>
              </w:rPr>
            </w:pPr>
            <w:r w:rsidRPr="00344C8D">
              <w:rPr>
                <w:rFonts w:ascii="Arial" w:hAnsi="Arial" w:cs="Arial"/>
                <w:color w:val="000000"/>
                <w:sz w:val="14"/>
                <w:szCs w:val="14"/>
              </w:rPr>
              <w:t xml:space="preserve">168310      </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color w:val="000000"/>
                <w:sz w:val="14"/>
                <w:szCs w:val="14"/>
              </w:rPr>
            </w:pPr>
            <w:r w:rsidRPr="00344C8D">
              <w:rPr>
                <w:rFonts w:ascii="Arial" w:hAnsi="Arial" w:cs="Arial"/>
                <w:color w:val="000000"/>
                <w:sz w:val="14"/>
                <w:szCs w:val="14"/>
              </w:rPr>
              <w:t xml:space="preserve">Ostali prihodi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5.000,00</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5.000,00</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color w:val="000000"/>
                <w:sz w:val="14"/>
                <w:szCs w:val="14"/>
              </w:rPr>
            </w:pPr>
            <w:r w:rsidRPr="00344C8D">
              <w:rPr>
                <w:rFonts w:ascii="Arial" w:hAnsi="Arial" w:cs="Arial"/>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16831</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Ostali prihodi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5.000,00</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5.000,00</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1683</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Potraživanja za ostale prihode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5.000,00</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5.000,00</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46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168</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Potraživanja za kazne i upravne mjere te ostale prihode</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5.000,00</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5.000,00</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231"/>
        </w:trPr>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16</w:t>
            </w:r>
          </w:p>
        </w:tc>
        <w:tc>
          <w:tcPr>
            <w:tcW w:w="3322" w:type="dxa"/>
            <w:tcBorders>
              <w:top w:val="nil"/>
              <w:left w:val="nil"/>
              <w:bottom w:val="nil"/>
              <w:right w:val="nil"/>
            </w:tcBorders>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Potraživanja za prihode poslovanja                                                                  </w:t>
            </w:r>
          </w:p>
        </w:tc>
        <w:tc>
          <w:tcPr>
            <w:tcW w:w="120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16.297,48</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201.354,63</w:t>
            </w:r>
          </w:p>
        </w:tc>
        <w:tc>
          <w:tcPr>
            <w:tcW w:w="1074"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205.111,06</w:t>
            </w:r>
          </w:p>
        </w:tc>
        <w:tc>
          <w:tcPr>
            <w:tcW w:w="833"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12.541,05</w:t>
            </w:r>
          </w:p>
        </w:tc>
        <w:tc>
          <w:tcPr>
            <w:tcW w:w="798" w:type="dxa"/>
            <w:tcBorders>
              <w:top w:val="nil"/>
              <w:left w:val="nil"/>
              <w:bottom w:val="nil"/>
              <w:right w:val="nil"/>
            </w:tcBorders>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r w:rsidR="007639AB" w:rsidRPr="00344C8D" w:rsidTr="007639AB">
        <w:trPr>
          <w:trHeight w:val="231"/>
        </w:trPr>
        <w:tc>
          <w:tcPr>
            <w:tcW w:w="798" w:type="dxa"/>
            <w:tcBorders>
              <w:top w:val="nil"/>
              <w:left w:val="nil"/>
              <w:bottom w:val="nil"/>
              <w:right w:val="nil"/>
            </w:tcBorders>
            <w:shd w:val="solid" w:color="C0C0C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1</w:t>
            </w:r>
          </w:p>
        </w:tc>
        <w:tc>
          <w:tcPr>
            <w:tcW w:w="3322" w:type="dxa"/>
            <w:tcBorders>
              <w:top w:val="nil"/>
              <w:left w:val="nil"/>
              <w:bottom w:val="nil"/>
              <w:right w:val="nil"/>
            </w:tcBorders>
            <w:shd w:val="solid" w:color="C0C0C0" w:fill="auto"/>
          </w:tcPr>
          <w:p w:rsidR="007639AB" w:rsidRPr="00344C8D" w:rsidRDefault="007639AB">
            <w:pPr>
              <w:autoSpaceDE w:val="0"/>
              <w:autoSpaceDN w:val="0"/>
              <w:adjustRightInd w:val="0"/>
              <w:spacing w:after="0" w:line="240" w:lineRule="auto"/>
              <w:rPr>
                <w:rFonts w:ascii="Arial" w:hAnsi="Arial" w:cs="Arial"/>
                <w:b/>
                <w:bCs/>
                <w:color w:val="000000"/>
                <w:sz w:val="14"/>
                <w:szCs w:val="14"/>
              </w:rPr>
            </w:pPr>
            <w:r w:rsidRPr="00344C8D">
              <w:rPr>
                <w:rFonts w:ascii="Arial" w:hAnsi="Arial" w:cs="Arial"/>
                <w:b/>
                <w:bCs/>
                <w:color w:val="000000"/>
                <w:sz w:val="14"/>
                <w:szCs w:val="14"/>
              </w:rPr>
              <w:t xml:space="preserve">Financijska imovina                                                                                 </w:t>
            </w:r>
          </w:p>
        </w:tc>
        <w:tc>
          <w:tcPr>
            <w:tcW w:w="1208" w:type="dxa"/>
            <w:tcBorders>
              <w:top w:val="nil"/>
              <w:left w:val="nil"/>
              <w:bottom w:val="nil"/>
              <w:right w:val="nil"/>
            </w:tcBorders>
            <w:shd w:val="solid" w:color="C0C0C0" w:fill="auto"/>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39.012,05</w:t>
            </w:r>
          </w:p>
        </w:tc>
        <w:tc>
          <w:tcPr>
            <w:tcW w:w="833" w:type="dxa"/>
            <w:tcBorders>
              <w:top w:val="nil"/>
              <w:left w:val="nil"/>
              <w:bottom w:val="nil"/>
              <w:right w:val="nil"/>
            </w:tcBorders>
            <w:shd w:val="solid" w:color="C0C0C0" w:fill="auto"/>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c>
          <w:tcPr>
            <w:tcW w:w="1073" w:type="dxa"/>
            <w:tcBorders>
              <w:top w:val="nil"/>
              <w:left w:val="nil"/>
              <w:bottom w:val="nil"/>
              <w:right w:val="nil"/>
            </w:tcBorders>
            <w:shd w:val="solid" w:color="C0C0C0" w:fill="auto"/>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1.175.347,87</w:t>
            </w:r>
          </w:p>
        </w:tc>
        <w:tc>
          <w:tcPr>
            <w:tcW w:w="1074" w:type="dxa"/>
            <w:tcBorders>
              <w:top w:val="nil"/>
              <w:left w:val="nil"/>
              <w:bottom w:val="nil"/>
              <w:right w:val="nil"/>
            </w:tcBorders>
            <w:shd w:val="solid" w:color="C0C0C0" w:fill="auto"/>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1.182.755,93</w:t>
            </w:r>
          </w:p>
        </w:tc>
        <w:tc>
          <w:tcPr>
            <w:tcW w:w="833" w:type="dxa"/>
            <w:tcBorders>
              <w:top w:val="nil"/>
              <w:left w:val="nil"/>
              <w:bottom w:val="nil"/>
              <w:right w:val="nil"/>
            </w:tcBorders>
            <w:shd w:val="solid" w:color="C0C0C0" w:fill="auto"/>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31.603,99</w:t>
            </w:r>
          </w:p>
        </w:tc>
        <w:tc>
          <w:tcPr>
            <w:tcW w:w="798" w:type="dxa"/>
            <w:tcBorders>
              <w:top w:val="nil"/>
              <w:left w:val="nil"/>
              <w:bottom w:val="nil"/>
              <w:right w:val="nil"/>
            </w:tcBorders>
            <w:shd w:val="solid" w:color="C0C0C0" w:fill="auto"/>
          </w:tcPr>
          <w:p w:rsidR="007639AB" w:rsidRPr="00344C8D" w:rsidRDefault="007639AB">
            <w:pPr>
              <w:autoSpaceDE w:val="0"/>
              <w:autoSpaceDN w:val="0"/>
              <w:adjustRightInd w:val="0"/>
              <w:spacing w:after="0" w:line="240" w:lineRule="auto"/>
              <w:jc w:val="right"/>
              <w:rPr>
                <w:rFonts w:ascii="Arial" w:hAnsi="Arial" w:cs="Arial"/>
                <w:b/>
                <w:bCs/>
                <w:color w:val="000000"/>
                <w:sz w:val="14"/>
                <w:szCs w:val="14"/>
              </w:rPr>
            </w:pPr>
            <w:r w:rsidRPr="00344C8D">
              <w:rPr>
                <w:rFonts w:ascii="Arial" w:hAnsi="Arial" w:cs="Arial"/>
                <w:b/>
                <w:bCs/>
                <w:color w:val="000000"/>
                <w:sz w:val="14"/>
                <w:szCs w:val="14"/>
              </w:rPr>
              <w:t>0,00</w:t>
            </w:r>
          </w:p>
        </w:tc>
      </w:tr>
    </w:tbl>
    <w:p w:rsidR="007639AB" w:rsidRDefault="007639AB" w:rsidP="00ED50C2">
      <w:pPr>
        <w:rPr>
          <w:rFonts w:ascii="Arial" w:hAnsi="Arial" w:cs="Arial"/>
        </w:rPr>
      </w:pPr>
    </w:p>
    <w:p w:rsidR="00427BF2" w:rsidRDefault="00427BF2" w:rsidP="00B94FB4">
      <w:pPr>
        <w:spacing w:after="0"/>
        <w:rPr>
          <w:rFonts w:ascii="Arial" w:hAnsi="Arial" w:cs="Arial"/>
        </w:rPr>
      </w:pPr>
      <w:r>
        <w:rPr>
          <w:rFonts w:ascii="Arial" w:hAnsi="Arial" w:cs="Arial"/>
        </w:rPr>
        <w:lastRenderedPageBreak/>
        <w:t xml:space="preserve">Aop170-180 </w:t>
      </w:r>
      <w:r w:rsidR="00D846E4">
        <w:rPr>
          <w:rFonts w:ascii="Arial" w:hAnsi="Arial" w:cs="Arial"/>
        </w:rPr>
        <w:t xml:space="preserve">Obveze za rashode poslovanja iznose </w:t>
      </w:r>
      <w:r>
        <w:rPr>
          <w:rFonts w:ascii="Arial" w:hAnsi="Arial" w:cs="Arial"/>
        </w:rPr>
        <w:t>6.636</w:t>
      </w:r>
      <w:r w:rsidR="00D846E4">
        <w:rPr>
          <w:rFonts w:ascii="Arial" w:hAnsi="Arial" w:cs="Arial"/>
        </w:rPr>
        <w:t xml:space="preserve"> kn, nedospjele obveze</w:t>
      </w:r>
      <w:r w:rsidR="00B94FB4">
        <w:rPr>
          <w:rFonts w:ascii="Arial" w:hAnsi="Arial" w:cs="Arial"/>
        </w:rPr>
        <w:t xml:space="preserve"> iznose </w:t>
      </w:r>
      <w:r>
        <w:rPr>
          <w:rFonts w:ascii="Arial" w:hAnsi="Arial" w:cs="Arial"/>
        </w:rPr>
        <w:t>3.686,48</w:t>
      </w:r>
      <w:r w:rsidR="00B94FB4">
        <w:rPr>
          <w:rFonts w:ascii="Arial" w:hAnsi="Arial" w:cs="Arial"/>
        </w:rPr>
        <w:t xml:space="preserve"> kn</w:t>
      </w:r>
      <w:r w:rsidR="00D846E4">
        <w:rPr>
          <w:rFonts w:ascii="Arial" w:hAnsi="Arial" w:cs="Arial"/>
        </w:rPr>
        <w:t xml:space="preserve"> </w:t>
      </w:r>
      <w:r>
        <w:rPr>
          <w:rFonts w:ascii="Arial" w:hAnsi="Arial" w:cs="Arial"/>
        </w:rPr>
        <w:t>odnose se na račune fakturirane za mjesec prosinac ,to su rashodi za namirnice, komunalne usluge, usluge telefona, usluga banke, te usluga za održavanje opreme.</w:t>
      </w:r>
    </w:p>
    <w:p w:rsidR="005839A8" w:rsidRDefault="00427BF2" w:rsidP="00B94FB4">
      <w:pPr>
        <w:spacing w:after="0"/>
        <w:rPr>
          <w:rFonts w:ascii="Arial" w:hAnsi="Arial" w:cs="Arial"/>
        </w:rPr>
      </w:pPr>
      <w:r>
        <w:rPr>
          <w:rFonts w:ascii="Arial" w:hAnsi="Arial" w:cs="Arial"/>
        </w:rPr>
        <w:t>D</w:t>
      </w:r>
      <w:r w:rsidR="005839A8">
        <w:rPr>
          <w:rFonts w:ascii="Arial" w:hAnsi="Arial" w:cs="Arial"/>
        </w:rPr>
        <w:t xml:space="preserve">ospjele obveze </w:t>
      </w:r>
      <w:r w:rsidR="00B94FB4">
        <w:rPr>
          <w:rFonts w:ascii="Arial" w:hAnsi="Arial" w:cs="Arial"/>
        </w:rPr>
        <w:t xml:space="preserve">u iznosu od </w:t>
      </w:r>
      <w:r>
        <w:rPr>
          <w:rFonts w:ascii="Arial" w:hAnsi="Arial" w:cs="Arial"/>
        </w:rPr>
        <w:t xml:space="preserve">2.950 </w:t>
      </w:r>
      <w:r w:rsidR="00B94FB4">
        <w:rPr>
          <w:rFonts w:ascii="Arial" w:hAnsi="Arial" w:cs="Arial"/>
        </w:rPr>
        <w:t xml:space="preserve">kn </w:t>
      </w:r>
      <w:r>
        <w:rPr>
          <w:rFonts w:ascii="Arial" w:hAnsi="Arial" w:cs="Arial"/>
        </w:rPr>
        <w:t>od toga prema dobavljačima za namirnice u iznosu od 1.988 kuna te obveza za povrat primljenog predujma prema HZZ-u za osobu</w:t>
      </w:r>
      <w:r w:rsidR="006D7F26">
        <w:rPr>
          <w:rFonts w:ascii="Arial" w:hAnsi="Arial" w:cs="Arial"/>
        </w:rPr>
        <w:t xml:space="preserve"> na stručnom osposobljavanju </w:t>
      </w:r>
      <w:r w:rsidR="00D66DA9">
        <w:rPr>
          <w:rFonts w:ascii="Arial" w:hAnsi="Arial" w:cs="Arial"/>
        </w:rPr>
        <w:t>koja je raskinula ugovor krajem mjeseca kolovoza.</w:t>
      </w:r>
    </w:p>
    <w:p w:rsidR="007639AB" w:rsidRDefault="007639AB" w:rsidP="00B94FB4">
      <w:pPr>
        <w:spacing w:after="0"/>
        <w:rPr>
          <w:rFonts w:ascii="Arial" w:hAnsi="Arial" w:cs="Arial"/>
        </w:rPr>
      </w:pPr>
    </w:p>
    <w:tbl>
      <w:tblPr>
        <w:tblW w:w="0" w:type="auto"/>
        <w:tblInd w:w="-30" w:type="dxa"/>
        <w:tblLayout w:type="fixed"/>
        <w:tblCellMar>
          <w:left w:w="30" w:type="dxa"/>
          <w:right w:w="30" w:type="dxa"/>
        </w:tblCellMar>
        <w:tblLook w:val="0000" w:firstRow="0" w:lastRow="0" w:firstColumn="0" w:lastColumn="0" w:noHBand="0" w:noVBand="0"/>
      </w:tblPr>
      <w:tblGrid>
        <w:gridCol w:w="696"/>
        <w:gridCol w:w="2894"/>
        <w:gridCol w:w="1053"/>
        <w:gridCol w:w="726"/>
        <w:gridCol w:w="935"/>
        <w:gridCol w:w="936"/>
        <w:gridCol w:w="726"/>
        <w:gridCol w:w="696"/>
      </w:tblGrid>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231110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Obveze za zaposlene i privremeno zaposlene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492.486,21</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492.486,21</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486"/>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23111</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zaposlene i privremeno zaposlene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492.486,21</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492.486,21</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2311</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plaće - neto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492.486,21</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492.486,21</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231210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Obveze za bolovanje na teret poslodavca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33.500,00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33.500,00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23121</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bolovanje na teret poslodavca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33.500,00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33.500,00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2312</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Obveze za naknade plaća – neto</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33.500,00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33.500,00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231310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Obveze za plaće u naravi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123.121,67</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123.121,67</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23131</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plaće u naravi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123.121,67</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123.121,67</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231320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Računski plan nastao konverzijom</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101.575,29</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101.575,29</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2313</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plaće u naravi - neto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224.696,96</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224.696,96</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231</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zaposlene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750.683,17</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750.683,17</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232110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Službena putovanja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4.740,00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4.740,00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23211</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Službena putovanja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4.740,00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4.740,00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486"/>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232120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Naknade za prijevoz, za rad na terenu i odvojeni život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38.828,00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38.828,00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486"/>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23212</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Naknade za prijevoz, za rad na terenu i odvojeni život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38.828,00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38.828,00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232130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Stručno usavršavanje zaposlenika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50,00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50,00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23213</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Stručno usavršavanje zaposlenika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50,00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2321</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Naknade troškova zaposlenima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43.618,00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43.618,00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232210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Uredski materijal i ostali materijalni rashodi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21,32</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10.124,59</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10.032,16</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113,75</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232211</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UREDSKI MATERIJAL</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166,24</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166,24</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486"/>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23221</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Uredski materijal i ostali materijalni rashodi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21,32</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10.290,83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10.198,40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113,75</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232220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Materijal i sirovine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2.524,75</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73.917,91</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75.527,29</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4.134,13</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232224</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NAMIRNICE</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2.751,03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2.751,03</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23222</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Materijal i sirovine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2.524,75</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76.668,94</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78.278,32</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4.134,13</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232230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Energija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581,13</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14.018,05</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13.436,36</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0,56</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23223</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Energija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581,13</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14.018,05</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13.436,36</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0,56</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232250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Sitni inventar i auto gume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534,26</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938,43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1.472,69</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23225</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Sitni inventar i auto gume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534,26</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938,43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1.472,69</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232270      </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Službena, radna i zaštitna odjeća i obuća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1.481,75</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1.481,75</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23227</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Službena, radna i zaštitna odjeća i obuća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1.481,75</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1.481,75</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2322</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Rashodi za materijal i energiju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555,58</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3.105,88</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103.398,00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104.867,52</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4.019,82</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232310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Usluge telefona, pošte i prijevoza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143,31</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4.278,21</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4.140,90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6,00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23231</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Usluge telefona, pošte i prijevoza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143,31</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4.278,21</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4.140,90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6,00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232320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Usluge tekućeg i investicijskog održavanja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534,26</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4.312,13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4.027,87</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250,00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23232</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Usluge tekućeg i investicijskog održavanja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534,26</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4.312,13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4.027,87</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250,00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232340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Komunalne usluge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461,87</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6.310,78</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6.180,57</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331,66</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23234</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Komunalne usluge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461,87</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6.310,78</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6.180,57</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331,66</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232360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Zdravstvene i veterinarske usluge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8.193,75</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8.193,75</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23236</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Zdravstvene i veterinarske usluge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8.193,75</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8.193,75</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232370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Intelektualne i osobne usluge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18.351,55</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18.351,55</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23237</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Intelektualne i osobne usluge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18.351,55</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18.351,55</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lastRenderedPageBreak/>
              <w:t>232390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Ostale usluge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551,80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-551,80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232392</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Ostale nespomenute usluge</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176,80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80,00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80,00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176,80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23239</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Ostale usluge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551,80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176,80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-471,80</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80,00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176,80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2323</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Rashodi za usluge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551,80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1.316,24</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40.974,62</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40.974,64</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764,46</w:t>
            </w:r>
          </w:p>
        </w:tc>
      </w:tr>
      <w:tr w:rsidR="007639AB" w:rsidRPr="007639AB" w:rsidTr="007639AB">
        <w:trPr>
          <w:trHeight w:val="486"/>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232410      </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Obveze za naknade troškova osobama izvan radnog odnosa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5.934,83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5.934,83</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486"/>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23241</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naknade troškova osobama izvan radnog odnosa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5.934,83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5.934,83</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486"/>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2324</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naknade troškova osobama izvan radnog odnosa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5.934,83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5.934,83</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232920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Premije osiguranja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0,09</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5.232,81</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5.232,81</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0,09</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23292</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Premije osiguranja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0,09</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5.232,81</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5.232,81</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0,09</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232930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Reprezentacija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154,00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947,25</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793,25</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23293</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Reprezentacija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154,00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947,25</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793,25</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232990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Ostali nespomenuti rashodi poslovanja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477,14</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10.535,93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10.677,24</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618,45</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23299</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Ostali nespomenuti rashodi poslovanja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477,14</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10.535,93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10.677,24</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618,45</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2329</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Ostali nespomenuti rashodi poslovanja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631,23</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16.715,99</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16.703,30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618,54</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232</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materijalne rashode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1.107,38</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5.053,35</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210.641,44</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212.098,29</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5.402,82</w:t>
            </w:r>
          </w:p>
        </w:tc>
      </w:tr>
      <w:tr w:rsidR="007639AB" w:rsidRPr="007639AB" w:rsidTr="007639AB">
        <w:trPr>
          <w:trHeight w:val="486"/>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234310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 xml:space="preserve">Obveze za bankarske usluge i usluge platnog prometa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2.712,18</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2.983,58</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271,40</w:t>
            </w:r>
          </w:p>
        </w:tc>
      </w:tr>
      <w:tr w:rsidR="007639AB" w:rsidRPr="007639AB" w:rsidTr="007639AB">
        <w:trPr>
          <w:trHeight w:val="486"/>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23431</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bankarske usluge i usluge platnog prometa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2.712,18</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2.983,58</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271,40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2343</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ostale financijske rashode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2.712,18</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2.983,58</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271,40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234</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financijske rashode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2.712,18</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2.983,58</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271,40</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239570</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color w:val="000000"/>
                <w:sz w:val="14"/>
                <w:szCs w:val="14"/>
              </w:rPr>
            </w:pPr>
            <w:r w:rsidRPr="007639AB">
              <w:rPr>
                <w:rFonts w:ascii="Arial" w:hAnsi="Arial" w:cs="Arial"/>
                <w:color w:val="000000"/>
                <w:sz w:val="14"/>
                <w:szCs w:val="14"/>
              </w:rPr>
              <w:t>Obveze za EU predujmove</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6.896,86</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5.934,83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color w:val="000000"/>
                <w:sz w:val="14"/>
                <w:szCs w:val="14"/>
              </w:rPr>
            </w:pPr>
            <w:r w:rsidRPr="007639AB">
              <w:rPr>
                <w:rFonts w:ascii="Arial" w:hAnsi="Arial" w:cs="Arial"/>
                <w:color w:val="000000"/>
                <w:sz w:val="14"/>
                <w:szCs w:val="14"/>
              </w:rPr>
              <w:t>962,03</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23957</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Obveze za EU predujmove</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6.896,86</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5.934,83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962,03</w:t>
            </w:r>
          </w:p>
        </w:tc>
      </w:tr>
      <w:tr w:rsidR="007639AB" w:rsidRPr="007639AB" w:rsidTr="007639AB">
        <w:trPr>
          <w:trHeight w:val="730"/>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2395</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Obveze za predujmove, depozite, primljene jamčevine i ostale nespomenute obveze</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6.896,86</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5.934,83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962,03</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239</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Ostale tekuće obveze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6.896,86</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5.934,83</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962,03</w:t>
            </w:r>
          </w:p>
        </w:tc>
      </w:tr>
      <w:tr w:rsidR="007639AB" w:rsidRPr="007639AB" w:rsidTr="007639AB">
        <w:trPr>
          <w:trHeight w:val="243"/>
        </w:trPr>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23</w:t>
            </w:r>
          </w:p>
        </w:tc>
        <w:tc>
          <w:tcPr>
            <w:tcW w:w="2894" w:type="dxa"/>
            <w:tcBorders>
              <w:top w:val="nil"/>
              <w:left w:val="nil"/>
              <w:bottom w:val="nil"/>
              <w:right w:val="nil"/>
            </w:tcBorders>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za rashode poslovanja                                                                        </w:t>
            </w:r>
          </w:p>
        </w:tc>
        <w:tc>
          <w:tcPr>
            <w:tcW w:w="1053"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1.107,38</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11.950,21</w:t>
            </w:r>
          </w:p>
        </w:tc>
        <w:tc>
          <w:tcPr>
            <w:tcW w:w="935"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969.971,62</w:t>
            </w:r>
          </w:p>
        </w:tc>
        <w:tc>
          <w:tcPr>
            <w:tcW w:w="93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965.765,04</w:t>
            </w:r>
          </w:p>
        </w:tc>
        <w:tc>
          <w:tcPr>
            <w:tcW w:w="72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6.636,25</w:t>
            </w:r>
          </w:p>
        </w:tc>
      </w:tr>
      <w:tr w:rsidR="007639AB" w:rsidRPr="007639AB" w:rsidTr="007639AB">
        <w:trPr>
          <w:trHeight w:val="243"/>
        </w:trPr>
        <w:tc>
          <w:tcPr>
            <w:tcW w:w="696" w:type="dxa"/>
            <w:tcBorders>
              <w:top w:val="nil"/>
              <w:left w:val="nil"/>
              <w:bottom w:val="nil"/>
              <w:right w:val="nil"/>
            </w:tcBorders>
            <w:shd w:val="solid" w:color="C0C0C0" w:fill="auto"/>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2</w:t>
            </w:r>
          </w:p>
        </w:tc>
        <w:tc>
          <w:tcPr>
            <w:tcW w:w="2894" w:type="dxa"/>
            <w:tcBorders>
              <w:top w:val="nil"/>
              <w:left w:val="nil"/>
              <w:bottom w:val="nil"/>
              <w:right w:val="nil"/>
            </w:tcBorders>
            <w:shd w:val="solid" w:color="C0C0C0" w:fill="auto"/>
          </w:tcPr>
          <w:p w:rsidR="007639AB" w:rsidRPr="007639AB" w:rsidRDefault="007639AB">
            <w:pPr>
              <w:autoSpaceDE w:val="0"/>
              <w:autoSpaceDN w:val="0"/>
              <w:adjustRightInd w:val="0"/>
              <w:spacing w:after="0" w:line="240" w:lineRule="auto"/>
              <w:rPr>
                <w:rFonts w:ascii="Arial" w:hAnsi="Arial" w:cs="Arial"/>
                <w:b/>
                <w:bCs/>
                <w:color w:val="000000"/>
                <w:sz w:val="14"/>
                <w:szCs w:val="14"/>
              </w:rPr>
            </w:pPr>
            <w:r w:rsidRPr="007639AB">
              <w:rPr>
                <w:rFonts w:ascii="Arial" w:hAnsi="Arial" w:cs="Arial"/>
                <w:b/>
                <w:bCs/>
                <w:color w:val="000000"/>
                <w:sz w:val="14"/>
                <w:szCs w:val="14"/>
              </w:rPr>
              <w:t xml:space="preserve">Obveze                                                                                              </w:t>
            </w:r>
          </w:p>
        </w:tc>
        <w:tc>
          <w:tcPr>
            <w:tcW w:w="1053" w:type="dxa"/>
            <w:tcBorders>
              <w:top w:val="nil"/>
              <w:left w:val="nil"/>
              <w:bottom w:val="nil"/>
              <w:right w:val="nil"/>
            </w:tcBorders>
            <w:shd w:val="solid" w:color="C0C0C0" w:fill="auto"/>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1.107,38</w:t>
            </w:r>
          </w:p>
        </w:tc>
        <w:tc>
          <w:tcPr>
            <w:tcW w:w="726" w:type="dxa"/>
            <w:tcBorders>
              <w:top w:val="nil"/>
              <w:left w:val="nil"/>
              <w:bottom w:val="nil"/>
              <w:right w:val="nil"/>
            </w:tcBorders>
            <w:shd w:val="solid" w:color="C0C0C0" w:fill="auto"/>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11.950,21</w:t>
            </w:r>
          </w:p>
        </w:tc>
        <w:tc>
          <w:tcPr>
            <w:tcW w:w="935" w:type="dxa"/>
            <w:tcBorders>
              <w:top w:val="nil"/>
              <w:left w:val="nil"/>
              <w:bottom w:val="nil"/>
              <w:right w:val="nil"/>
            </w:tcBorders>
            <w:shd w:val="solid" w:color="C0C0C0" w:fill="auto"/>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969.971,62</w:t>
            </w:r>
          </w:p>
        </w:tc>
        <w:tc>
          <w:tcPr>
            <w:tcW w:w="936" w:type="dxa"/>
            <w:tcBorders>
              <w:top w:val="nil"/>
              <w:left w:val="nil"/>
              <w:bottom w:val="nil"/>
              <w:right w:val="nil"/>
            </w:tcBorders>
            <w:shd w:val="solid" w:color="C0C0C0" w:fill="auto"/>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965.765,04</w:t>
            </w:r>
          </w:p>
        </w:tc>
        <w:tc>
          <w:tcPr>
            <w:tcW w:w="726" w:type="dxa"/>
            <w:tcBorders>
              <w:top w:val="nil"/>
              <w:left w:val="nil"/>
              <w:bottom w:val="nil"/>
              <w:right w:val="nil"/>
            </w:tcBorders>
            <w:shd w:val="solid" w:color="C0C0C0" w:fill="auto"/>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0,00</w:t>
            </w:r>
          </w:p>
        </w:tc>
        <w:tc>
          <w:tcPr>
            <w:tcW w:w="696" w:type="dxa"/>
            <w:tcBorders>
              <w:top w:val="nil"/>
              <w:left w:val="nil"/>
              <w:bottom w:val="nil"/>
              <w:right w:val="nil"/>
            </w:tcBorders>
            <w:shd w:val="solid" w:color="C0C0C0" w:fill="auto"/>
          </w:tcPr>
          <w:p w:rsidR="007639AB" w:rsidRPr="007639AB" w:rsidRDefault="007639AB">
            <w:pPr>
              <w:autoSpaceDE w:val="0"/>
              <w:autoSpaceDN w:val="0"/>
              <w:adjustRightInd w:val="0"/>
              <w:spacing w:after="0" w:line="240" w:lineRule="auto"/>
              <w:jc w:val="right"/>
              <w:rPr>
                <w:rFonts w:ascii="Arial" w:hAnsi="Arial" w:cs="Arial"/>
                <w:b/>
                <w:bCs/>
                <w:color w:val="000000"/>
                <w:sz w:val="14"/>
                <w:szCs w:val="14"/>
              </w:rPr>
            </w:pPr>
            <w:r w:rsidRPr="007639AB">
              <w:rPr>
                <w:rFonts w:ascii="Arial" w:hAnsi="Arial" w:cs="Arial"/>
                <w:b/>
                <w:bCs/>
                <w:color w:val="000000"/>
                <w:sz w:val="14"/>
                <w:szCs w:val="14"/>
              </w:rPr>
              <w:t>6.636,25</w:t>
            </w:r>
          </w:p>
        </w:tc>
      </w:tr>
    </w:tbl>
    <w:p w:rsidR="00D66DA9" w:rsidRDefault="00D66DA9" w:rsidP="00B94FB4">
      <w:pPr>
        <w:spacing w:after="0"/>
        <w:rPr>
          <w:rFonts w:ascii="Arial" w:hAnsi="Arial" w:cs="Arial"/>
        </w:rPr>
      </w:pPr>
    </w:p>
    <w:p w:rsidR="00B94FB4" w:rsidRDefault="007F3ABA" w:rsidP="00B94FB4">
      <w:pPr>
        <w:spacing w:after="0"/>
        <w:rPr>
          <w:rFonts w:ascii="Arial" w:hAnsi="Arial" w:cs="Arial"/>
        </w:rPr>
      </w:pPr>
      <w:r>
        <w:rPr>
          <w:rFonts w:ascii="Arial" w:hAnsi="Arial" w:cs="Arial"/>
        </w:rPr>
        <w:t>Aop 229</w:t>
      </w:r>
      <w:r w:rsidR="00B94FB4">
        <w:rPr>
          <w:rFonts w:ascii="Arial" w:hAnsi="Arial" w:cs="Arial"/>
        </w:rPr>
        <w:t xml:space="preserve"> Vlastiti izvori </w:t>
      </w:r>
      <w:r w:rsidR="003D482C">
        <w:rPr>
          <w:rFonts w:ascii="Arial" w:hAnsi="Arial" w:cs="Arial"/>
        </w:rPr>
        <w:t xml:space="preserve">; </w:t>
      </w:r>
      <w:r w:rsidR="00B94FB4">
        <w:rPr>
          <w:rFonts w:ascii="Arial" w:hAnsi="Arial" w:cs="Arial"/>
        </w:rPr>
        <w:t xml:space="preserve">odgovara stanju na imovini </w:t>
      </w:r>
    </w:p>
    <w:p w:rsidR="00B94FB4" w:rsidRDefault="007F3ABA" w:rsidP="00B94FB4">
      <w:pPr>
        <w:spacing w:after="0"/>
        <w:rPr>
          <w:rFonts w:ascii="Arial" w:hAnsi="Arial" w:cs="Arial"/>
        </w:rPr>
      </w:pPr>
      <w:r>
        <w:rPr>
          <w:rFonts w:ascii="Arial" w:hAnsi="Arial" w:cs="Arial"/>
        </w:rPr>
        <w:t>Aop 238</w:t>
      </w:r>
      <w:r w:rsidR="00B94FB4">
        <w:rPr>
          <w:rFonts w:ascii="Arial" w:hAnsi="Arial" w:cs="Arial"/>
        </w:rPr>
        <w:t xml:space="preserve"> Višak prihoda poslovanja odgovara rezultatu u PR-RAS obrascu  </w:t>
      </w:r>
    </w:p>
    <w:p w:rsidR="00EB6940" w:rsidRDefault="00EB6940" w:rsidP="00B94FB4">
      <w:pPr>
        <w:spacing w:after="0"/>
        <w:rPr>
          <w:rFonts w:ascii="Arial" w:hAnsi="Arial" w:cs="Arial"/>
        </w:rPr>
      </w:pPr>
    </w:p>
    <w:p w:rsidR="00B94FB4" w:rsidRPr="00EB6940" w:rsidRDefault="00EB6940" w:rsidP="00B94FB4">
      <w:pPr>
        <w:spacing w:after="0"/>
        <w:rPr>
          <w:rFonts w:ascii="Arial" w:hAnsi="Arial" w:cs="Arial"/>
          <w:b/>
        </w:rPr>
      </w:pPr>
      <w:r w:rsidRPr="00EB6940">
        <w:rPr>
          <w:rFonts w:ascii="Arial" w:hAnsi="Arial" w:cs="Arial"/>
          <w:b/>
        </w:rPr>
        <w:t>Bilješka br.3</w:t>
      </w:r>
    </w:p>
    <w:p w:rsidR="00DA729A" w:rsidRPr="00CB15F4" w:rsidRDefault="00DA729A" w:rsidP="00ED50C2">
      <w:pPr>
        <w:rPr>
          <w:rFonts w:ascii="Arial" w:hAnsi="Arial" w:cs="Arial"/>
        </w:rPr>
      </w:pPr>
      <w:r w:rsidRPr="00EB6940">
        <w:rPr>
          <w:rFonts w:ascii="Arial" w:hAnsi="Arial" w:cs="Arial"/>
          <w:b/>
        </w:rPr>
        <w:t>Obrazac RAS</w:t>
      </w:r>
      <w:r w:rsidR="00174104">
        <w:rPr>
          <w:rFonts w:ascii="Arial" w:hAnsi="Arial" w:cs="Arial"/>
        </w:rPr>
        <w:t xml:space="preserve">-funkcijski Aop 110-112 </w:t>
      </w:r>
      <w:r w:rsidRPr="00CB15F4">
        <w:rPr>
          <w:rFonts w:ascii="Arial" w:hAnsi="Arial" w:cs="Arial"/>
        </w:rPr>
        <w:t>odgovora rashodima iskazanima u PR-RAS obrascu te odgovora funkciji predškolski odgoj.</w:t>
      </w:r>
    </w:p>
    <w:p w:rsidR="00B94FB4" w:rsidRDefault="00DA729A" w:rsidP="00ED50C2">
      <w:pPr>
        <w:rPr>
          <w:rFonts w:ascii="Arial" w:hAnsi="Arial" w:cs="Arial"/>
        </w:rPr>
      </w:pPr>
      <w:r w:rsidRPr="00EB6940">
        <w:rPr>
          <w:rFonts w:ascii="Arial" w:hAnsi="Arial" w:cs="Arial"/>
          <w:b/>
        </w:rPr>
        <w:t>Obrazac P-VRIO</w:t>
      </w:r>
      <w:r w:rsidRPr="00CB15F4">
        <w:rPr>
          <w:rFonts w:ascii="Arial" w:hAnsi="Arial" w:cs="Arial"/>
        </w:rPr>
        <w:t xml:space="preserve"> – nema podataka ,obzirom da nije bilo promjena u </w:t>
      </w:r>
      <w:r w:rsidR="00F76D71" w:rsidRPr="00CB15F4">
        <w:rPr>
          <w:rFonts w:ascii="Arial" w:hAnsi="Arial" w:cs="Arial"/>
        </w:rPr>
        <w:t>vrijednosti i obujmu imovine i obveza</w:t>
      </w:r>
    </w:p>
    <w:p w:rsidR="00DA729A" w:rsidRDefault="00B94FB4" w:rsidP="00ED50C2">
      <w:pPr>
        <w:rPr>
          <w:rFonts w:ascii="Arial" w:hAnsi="Arial" w:cs="Arial"/>
        </w:rPr>
      </w:pPr>
      <w:r w:rsidRPr="00EB6940">
        <w:rPr>
          <w:rFonts w:ascii="Arial" w:hAnsi="Arial" w:cs="Arial"/>
          <w:b/>
        </w:rPr>
        <w:t>Obrazac Obveze</w:t>
      </w:r>
      <w:r>
        <w:rPr>
          <w:rFonts w:ascii="Arial" w:hAnsi="Arial" w:cs="Arial"/>
        </w:rPr>
        <w:t xml:space="preserve"> –Stanje obveza na kraju izvještajnog razdoblja na dan 31.12.20</w:t>
      </w:r>
      <w:r w:rsidR="00174104">
        <w:rPr>
          <w:rFonts w:ascii="Arial" w:hAnsi="Arial" w:cs="Arial"/>
        </w:rPr>
        <w:t>20</w:t>
      </w:r>
      <w:r>
        <w:rPr>
          <w:rFonts w:ascii="Arial" w:hAnsi="Arial" w:cs="Arial"/>
        </w:rPr>
        <w:t xml:space="preserve">.g. </w:t>
      </w:r>
    </w:p>
    <w:p w:rsidR="00174104" w:rsidRPr="00174104" w:rsidRDefault="00174104" w:rsidP="00174104">
      <w:pPr>
        <w:rPr>
          <w:rFonts w:ascii="Arial" w:hAnsi="Arial" w:cs="Arial"/>
        </w:rPr>
      </w:pPr>
      <w:r w:rsidRPr="00174104">
        <w:rPr>
          <w:rFonts w:ascii="Arial" w:hAnsi="Arial" w:cs="Arial"/>
        </w:rPr>
        <w:t>Obveze za rashode poslovanja iznose 6.636 kn, nedospjele obveze iznose 3.686,48 kn odnose se na račune fakturirane za mjesec prosinac ,to su rashodi za namirnice, komunalne usluge, usluge telefona, usluga banke, te usluga za održavanje opreme.</w:t>
      </w:r>
    </w:p>
    <w:p w:rsidR="00174104" w:rsidRDefault="00174104" w:rsidP="00174104">
      <w:pPr>
        <w:rPr>
          <w:rFonts w:ascii="Arial" w:hAnsi="Arial" w:cs="Arial"/>
        </w:rPr>
      </w:pPr>
      <w:r w:rsidRPr="00174104">
        <w:rPr>
          <w:rFonts w:ascii="Arial" w:hAnsi="Arial" w:cs="Arial"/>
        </w:rPr>
        <w:t>Dospjele obveze u iznosu od 2.950 kn od toga prema dobavljačima za namirnice u iznosu od 1.988 kuna te obveza za povrat primljenog predujma prema HZZ-u za osobu na stručnom osposobljavanju koja je raskinula ugovor krajem mjeseca kolovoza.</w:t>
      </w:r>
    </w:p>
    <w:p w:rsidR="006D15BC" w:rsidRPr="00CB15F4" w:rsidRDefault="006D15BC" w:rsidP="001431F1">
      <w:pPr>
        <w:rPr>
          <w:rFonts w:ascii="Arial" w:hAnsi="Arial" w:cs="Arial"/>
          <w:b/>
        </w:rPr>
      </w:pPr>
      <w:r w:rsidRPr="00CB15F4">
        <w:rPr>
          <w:rFonts w:ascii="Arial" w:hAnsi="Arial" w:cs="Arial"/>
          <w:b/>
        </w:rPr>
        <w:lastRenderedPageBreak/>
        <w:t>Bilješka br. 4</w:t>
      </w:r>
    </w:p>
    <w:p w:rsidR="00520778" w:rsidRPr="00344C8D" w:rsidRDefault="00520778" w:rsidP="00520778">
      <w:pPr>
        <w:rPr>
          <w:rFonts w:ascii="Arial" w:hAnsi="Arial" w:cs="Arial"/>
          <w:b/>
          <w:i/>
        </w:rPr>
      </w:pPr>
      <w:r w:rsidRPr="00344C8D">
        <w:rPr>
          <w:rFonts w:ascii="Arial" w:hAnsi="Arial" w:cs="Arial"/>
          <w:b/>
          <w:i/>
        </w:rPr>
        <w:t>Opis aktivnosti i pokazatelji učinkovitosti:</w:t>
      </w:r>
    </w:p>
    <w:p w:rsidR="00344C8D" w:rsidRPr="00344C8D" w:rsidRDefault="00344C8D" w:rsidP="00344C8D">
      <w:pPr>
        <w:rPr>
          <w:rFonts w:ascii="Arial" w:hAnsi="Arial" w:cs="Arial"/>
          <w:i/>
        </w:rPr>
      </w:pPr>
      <w:r w:rsidRPr="00344C8D">
        <w:rPr>
          <w:rFonts w:ascii="Arial" w:hAnsi="Arial" w:cs="Arial"/>
          <w:i/>
        </w:rPr>
        <w:t xml:space="preserve">U prvom polugodištu 2020 g. sredstva su u velikoj mjeru utrošena za tekuće i rutinske poslove. </w:t>
      </w:r>
    </w:p>
    <w:p w:rsidR="00344C8D" w:rsidRPr="00344C8D" w:rsidRDefault="00344C8D" w:rsidP="00344C8D">
      <w:pPr>
        <w:rPr>
          <w:rFonts w:ascii="Arial" w:hAnsi="Arial" w:cs="Arial"/>
          <w:i/>
        </w:rPr>
      </w:pPr>
      <w:r w:rsidRPr="00344C8D">
        <w:rPr>
          <w:rFonts w:ascii="Arial" w:hAnsi="Arial" w:cs="Arial"/>
          <w:i/>
        </w:rPr>
        <w:t>Sredstva se kontinuirano troše za nabavku potrebnih didaktičkih materijala koje odgajateljice koriste u raznim aktivnostima sa djecom ( npr. pjena za brijanje – ples pisanja , razvoj fine motorike i grafomotoričkih sposobnosti, čavliči i čekić + daska- vjež</w:t>
      </w:r>
      <w:r>
        <w:rPr>
          <w:rFonts w:ascii="Arial" w:hAnsi="Arial" w:cs="Arial"/>
          <w:i/>
        </w:rPr>
        <w:t xml:space="preserve">bamo preciznost i spretnost…) </w:t>
      </w:r>
      <w:r w:rsidRPr="00344C8D">
        <w:rPr>
          <w:rFonts w:ascii="Arial" w:hAnsi="Arial" w:cs="Arial"/>
          <w:i/>
        </w:rPr>
        <w:t>Nabavljene su razne plastične kutijice( velike i male) za sortiranje i slaganje dječjih igračaka u ormarima i policama, važno za razvijanje sposobnosti klasifikacije i sortiranja.</w:t>
      </w:r>
    </w:p>
    <w:p w:rsidR="00344C8D" w:rsidRPr="00344C8D" w:rsidRDefault="00344C8D" w:rsidP="00344C8D">
      <w:pPr>
        <w:rPr>
          <w:rFonts w:ascii="Arial" w:hAnsi="Arial" w:cs="Arial"/>
          <w:i/>
        </w:rPr>
      </w:pPr>
      <w:r w:rsidRPr="00344C8D">
        <w:rPr>
          <w:rFonts w:ascii="Arial" w:hAnsi="Arial" w:cs="Arial"/>
          <w:i/>
        </w:rPr>
        <w:t xml:space="preserve">Za aktivnosti u dvorištu nabavljena su pomagala za igre u pijesku, lopte i neke didaktičke igre koje kod djece potiču na spretnost i važne su za razvoj motorike i koordinacije (čunjevi, plastični poligon, male i velike loptice za nošenje i bacanje….). </w:t>
      </w:r>
    </w:p>
    <w:p w:rsidR="00344C8D" w:rsidRPr="00344C8D" w:rsidRDefault="00344C8D" w:rsidP="00344C8D">
      <w:pPr>
        <w:rPr>
          <w:rFonts w:ascii="Arial" w:hAnsi="Arial" w:cs="Arial"/>
          <w:i/>
        </w:rPr>
      </w:pPr>
      <w:r w:rsidRPr="00344C8D">
        <w:rPr>
          <w:rFonts w:ascii="Arial" w:hAnsi="Arial" w:cs="Arial"/>
          <w:i/>
        </w:rPr>
        <w:t>Kupljena je boja za bojanje guma koje grade  naš cvjetnjak.</w:t>
      </w:r>
    </w:p>
    <w:p w:rsidR="00344C8D" w:rsidRPr="00344C8D" w:rsidRDefault="00344C8D" w:rsidP="00344C8D">
      <w:pPr>
        <w:rPr>
          <w:rFonts w:ascii="Arial" w:hAnsi="Arial" w:cs="Arial"/>
          <w:i/>
        </w:rPr>
      </w:pPr>
      <w:r w:rsidRPr="00344C8D">
        <w:rPr>
          <w:rFonts w:ascii="Arial" w:hAnsi="Arial" w:cs="Arial"/>
          <w:i/>
        </w:rPr>
        <w:t>U kuhinji je kupljeno nekoliko  tanjura, plastičnih zdjela i pribora za jelo. Razlog je  veći broja djece i zbog većeg broja serviranja( potičemo djecu na samostalnost kod samostalnog uzimanja obroka.)</w:t>
      </w:r>
    </w:p>
    <w:p w:rsidR="00344C8D" w:rsidRPr="00344C8D" w:rsidRDefault="00344C8D" w:rsidP="00344C8D">
      <w:pPr>
        <w:rPr>
          <w:rFonts w:ascii="Arial" w:hAnsi="Arial" w:cs="Arial"/>
          <w:i/>
        </w:rPr>
      </w:pPr>
      <w:r w:rsidRPr="00344C8D">
        <w:rPr>
          <w:rFonts w:ascii="Arial" w:hAnsi="Arial" w:cs="Arial"/>
          <w:i/>
        </w:rPr>
        <w:t>Aktivnosti po mjesecima:</w:t>
      </w:r>
    </w:p>
    <w:p w:rsidR="00344C8D" w:rsidRPr="00344C8D" w:rsidRDefault="00344C8D" w:rsidP="00344C8D">
      <w:pPr>
        <w:rPr>
          <w:rFonts w:ascii="Arial" w:hAnsi="Arial" w:cs="Arial"/>
          <w:i/>
        </w:rPr>
      </w:pPr>
      <w:r w:rsidRPr="00344C8D">
        <w:rPr>
          <w:rFonts w:ascii="Arial" w:hAnsi="Arial" w:cs="Arial"/>
          <w:i/>
        </w:rPr>
        <w:t>Siječanj: Organizirana su zajednička druženja roditelja i djece na način da zainteresirani roditelji dođu u grupu i druže se sa nama, aktivno sudjeluju u ponuđenim aktivnostima i sami budu kreatori raznih igara.</w:t>
      </w:r>
    </w:p>
    <w:p w:rsidR="00344C8D" w:rsidRPr="00344C8D" w:rsidRDefault="00344C8D" w:rsidP="00344C8D">
      <w:pPr>
        <w:rPr>
          <w:rFonts w:ascii="Arial" w:hAnsi="Arial" w:cs="Arial"/>
          <w:i/>
        </w:rPr>
      </w:pPr>
      <w:r w:rsidRPr="00344C8D">
        <w:rPr>
          <w:rFonts w:ascii="Arial" w:hAnsi="Arial" w:cs="Arial"/>
          <w:i/>
        </w:rPr>
        <w:t>Voditelji aktivnosti su roditelji i odgajatelji.</w:t>
      </w:r>
    </w:p>
    <w:p w:rsidR="00344C8D" w:rsidRPr="00344C8D" w:rsidRDefault="00344C8D" w:rsidP="00344C8D">
      <w:pPr>
        <w:rPr>
          <w:rFonts w:ascii="Arial" w:hAnsi="Arial" w:cs="Arial"/>
          <w:i/>
        </w:rPr>
      </w:pPr>
      <w:r w:rsidRPr="00344C8D">
        <w:rPr>
          <w:rFonts w:ascii="Arial" w:hAnsi="Arial" w:cs="Arial"/>
          <w:i/>
        </w:rPr>
        <w:t>Veljača: Izrada fašničkih maski i ostalih rekvizita potrebnih za maskiranje. Kupovina svih potrebnih materijala za izradu maski (trakice, kartoni, šljokice, svjetleći ukrasi, ….)  Organizirana Fašnička povorka  kroz mjesto , sudionici su svi zaposleni djelatnici vrtića i djeca svih programa. Zajedničko druženje u dvorištu uz pjesmu, ples i krafne.</w:t>
      </w:r>
    </w:p>
    <w:p w:rsidR="00344C8D" w:rsidRPr="00344C8D" w:rsidRDefault="00344C8D" w:rsidP="00344C8D">
      <w:pPr>
        <w:rPr>
          <w:rFonts w:ascii="Arial" w:hAnsi="Arial" w:cs="Arial"/>
          <w:i/>
        </w:rPr>
      </w:pPr>
      <w:r w:rsidRPr="00344C8D">
        <w:rPr>
          <w:rFonts w:ascii="Arial" w:hAnsi="Arial" w:cs="Arial"/>
          <w:i/>
        </w:rPr>
        <w:t>Ožujak i Travanj: zbog pandemije  COVID 19 vrtić je bio zatvoren.</w:t>
      </w:r>
    </w:p>
    <w:p w:rsidR="00344C8D" w:rsidRPr="00344C8D" w:rsidRDefault="00344C8D" w:rsidP="00344C8D">
      <w:pPr>
        <w:rPr>
          <w:rFonts w:ascii="Arial" w:hAnsi="Arial" w:cs="Arial"/>
          <w:i/>
        </w:rPr>
      </w:pPr>
      <w:r w:rsidRPr="00344C8D">
        <w:rPr>
          <w:rFonts w:ascii="Arial" w:hAnsi="Arial" w:cs="Arial"/>
          <w:i/>
        </w:rPr>
        <w:t>Svibanj: Organizirane  sportske igre na otvorenom , natjecanje između grupa, poligoni, lopte raznih oblika i veličina.</w:t>
      </w:r>
    </w:p>
    <w:p w:rsidR="00344C8D" w:rsidRPr="00344C8D" w:rsidRDefault="00344C8D" w:rsidP="00344C8D">
      <w:pPr>
        <w:rPr>
          <w:rFonts w:ascii="Arial" w:hAnsi="Arial" w:cs="Arial"/>
          <w:i/>
        </w:rPr>
      </w:pPr>
      <w:r w:rsidRPr="00344C8D">
        <w:rPr>
          <w:rFonts w:ascii="Arial" w:hAnsi="Arial" w:cs="Arial"/>
          <w:i/>
        </w:rPr>
        <w:t xml:space="preserve">Uređenje našeg povrtnjaka i cvjetnjaka. Nabavljene presadnice i sjeme za povrtnjak. </w:t>
      </w:r>
    </w:p>
    <w:p w:rsidR="00344C8D" w:rsidRPr="00344C8D" w:rsidRDefault="00344C8D" w:rsidP="00344C8D">
      <w:pPr>
        <w:rPr>
          <w:rFonts w:ascii="Arial" w:hAnsi="Arial" w:cs="Arial"/>
          <w:i/>
        </w:rPr>
      </w:pPr>
      <w:r w:rsidRPr="00344C8D">
        <w:rPr>
          <w:rFonts w:ascii="Arial" w:hAnsi="Arial" w:cs="Arial"/>
          <w:i/>
        </w:rPr>
        <w:t>Obojane gume koje grade cvjetnjak i kupljeno cvijeće za sadnju i uređenje dvorišta.</w:t>
      </w:r>
    </w:p>
    <w:p w:rsidR="00344C8D" w:rsidRPr="00344C8D" w:rsidRDefault="00344C8D" w:rsidP="00344C8D">
      <w:pPr>
        <w:rPr>
          <w:rFonts w:ascii="Arial" w:hAnsi="Arial" w:cs="Arial"/>
          <w:i/>
        </w:rPr>
      </w:pPr>
      <w:r w:rsidRPr="00344C8D">
        <w:rPr>
          <w:rFonts w:ascii="Arial" w:hAnsi="Arial" w:cs="Arial"/>
          <w:i/>
        </w:rPr>
        <w:t>Lipanj: Dan vrtića ( 09.06.) proslavljen u dvorištu uz „napuhanac“ (donacija tate Z. Pješ) , razne sportske i likovne aktivnosti, sladoled i rođendansku tortu.</w:t>
      </w:r>
    </w:p>
    <w:p w:rsidR="00344C8D" w:rsidRPr="00344C8D" w:rsidRDefault="00344C8D" w:rsidP="00344C8D">
      <w:pPr>
        <w:rPr>
          <w:rFonts w:ascii="Arial" w:hAnsi="Arial" w:cs="Arial"/>
          <w:i/>
        </w:rPr>
      </w:pPr>
      <w:r w:rsidRPr="00344C8D">
        <w:rPr>
          <w:rFonts w:ascii="Arial" w:hAnsi="Arial" w:cs="Arial"/>
          <w:i/>
        </w:rPr>
        <w:t>Druženje sa roditeljima na kraju pedagoške godine 18.06. u dvorištu vrtića. Djelatnici , djeca i roditelji uz kolače , pjesmu i ples oprostili se od djece koja odlaze u školu.</w:t>
      </w:r>
    </w:p>
    <w:p w:rsidR="00344C8D" w:rsidRPr="00344C8D" w:rsidRDefault="00344C8D" w:rsidP="00344C8D">
      <w:pPr>
        <w:rPr>
          <w:rFonts w:ascii="Arial" w:hAnsi="Arial" w:cs="Arial"/>
          <w:i/>
        </w:rPr>
      </w:pPr>
      <w:r w:rsidRPr="00344C8D">
        <w:rPr>
          <w:rFonts w:ascii="Arial" w:hAnsi="Arial" w:cs="Arial"/>
          <w:i/>
        </w:rPr>
        <w:t xml:space="preserve">Srpanj: Spojene su skupine (dolazak oko 25-30 djece, vrijeme je godišnjih), aktivnosti su u velikoj mjeri sa vodom i najčešće su u dvorištu. Izrađene su razne vodenice od PNM materijala, šatori za </w:t>
      </w:r>
      <w:r w:rsidRPr="00344C8D">
        <w:rPr>
          <w:rFonts w:ascii="Arial" w:hAnsi="Arial" w:cs="Arial"/>
          <w:i/>
        </w:rPr>
        <w:lastRenderedPageBreak/>
        <w:t>skrivanje i igre skrivača, poligoni sa spravama za vježbanje , provlačenje, gađanje u mete , koš za košarku.</w:t>
      </w:r>
    </w:p>
    <w:p w:rsidR="00344C8D" w:rsidRPr="00344C8D" w:rsidRDefault="00344C8D" w:rsidP="00344C8D">
      <w:pPr>
        <w:rPr>
          <w:rFonts w:ascii="Arial" w:hAnsi="Arial" w:cs="Arial"/>
          <w:i/>
        </w:rPr>
      </w:pPr>
      <w:r w:rsidRPr="00344C8D">
        <w:rPr>
          <w:rFonts w:ascii="Arial" w:hAnsi="Arial" w:cs="Arial"/>
          <w:i/>
        </w:rPr>
        <w:t>Kolovoz: Spojene su i dalje skupine( dolazak oko 10-15 djece).Nastavljaju se aktivnosti iz srpnja(vezane uz vodu). Od novih aktivnosti dodane su aktivnosti sa loptama, malim i velikima (gađanje u cilj, gađanje u koš, hvatanje , bacanje u zrak, i sl.)</w:t>
      </w:r>
    </w:p>
    <w:p w:rsidR="00344C8D" w:rsidRPr="00344C8D" w:rsidRDefault="00344C8D" w:rsidP="00344C8D">
      <w:pPr>
        <w:rPr>
          <w:rFonts w:ascii="Arial" w:hAnsi="Arial" w:cs="Arial"/>
          <w:i/>
        </w:rPr>
      </w:pPr>
      <w:r w:rsidRPr="00344C8D">
        <w:rPr>
          <w:rFonts w:ascii="Arial" w:hAnsi="Arial" w:cs="Arial"/>
          <w:i/>
        </w:rPr>
        <w:t>Rujan:  Obilježavanje Olimpijskog dana . Organiziran poligon za vježbanje(provlačenje, skakanje, puzanje) , vježbanje u krugu, preskakanje užeta, gađanje u koš. Otvaranje novog prostora na igralištu  (u parku- Općina kupila nove igračke i mi smo bili počasni gosti koji su prvi isprobali funkcionalnost svih novih i starih igralica).  Obilježili Dan policije- razgovor i crteži.</w:t>
      </w:r>
    </w:p>
    <w:p w:rsidR="00344C8D" w:rsidRPr="00344C8D" w:rsidRDefault="00344C8D" w:rsidP="00344C8D">
      <w:pPr>
        <w:rPr>
          <w:rFonts w:ascii="Arial" w:hAnsi="Arial" w:cs="Arial"/>
          <w:i/>
        </w:rPr>
      </w:pPr>
      <w:r w:rsidRPr="00344C8D">
        <w:rPr>
          <w:rFonts w:ascii="Arial" w:hAnsi="Arial" w:cs="Arial"/>
          <w:i/>
        </w:rPr>
        <w:t>Listopad: Obilježavanje-  Dječji tjedan(prvi tjedan u listopadu) pod motom „Čini dobro svaki dan , pa ćeš biti sretan“, organiziran ples i pjesma pod tim motom, izrađeni likovni radovi kojima su djeca opisala tj. nacrtala što su dobro učinila svojim prijateljima. Zahvalili smo se i za plodove Zemlje (drugi tjedan u listopadu) . Kroz cijeli tjedan djeca i odgojitelji zajedno sa kuharom pripremali su razne proizvode od brašna (slatke i slane – kruh, peciva, keksi i sl.) U posjet vrtiću došlo je dječje kazalište „Šareni svijet“ sa predstavom – „Jesen za pet uz Šareni svijet“-.</w:t>
      </w:r>
    </w:p>
    <w:p w:rsidR="00344C8D" w:rsidRPr="00344C8D" w:rsidRDefault="00344C8D" w:rsidP="00344C8D">
      <w:pPr>
        <w:rPr>
          <w:rFonts w:ascii="Arial" w:hAnsi="Arial" w:cs="Arial"/>
          <w:i/>
        </w:rPr>
      </w:pPr>
      <w:r w:rsidRPr="00344C8D">
        <w:rPr>
          <w:rFonts w:ascii="Arial" w:hAnsi="Arial" w:cs="Arial"/>
          <w:i/>
        </w:rPr>
        <w:t xml:space="preserve">18.10. obilježili smo i Svjetski dan kravate, izradili smo male papirnate kravate za svu djecu i djelatnike , nakon ukrašavanja djeca odnose svoje kravate kući. </w:t>
      </w:r>
    </w:p>
    <w:p w:rsidR="00344C8D" w:rsidRPr="00344C8D" w:rsidRDefault="00344C8D" w:rsidP="00344C8D">
      <w:pPr>
        <w:rPr>
          <w:rFonts w:ascii="Arial" w:hAnsi="Arial" w:cs="Arial"/>
          <w:i/>
        </w:rPr>
      </w:pPr>
      <w:r w:rsidRPr="00344C8D">
        <w:rPr>
          <w:rFonts w:ascii="Arial" w:hAnsi="Arial" w:cs="Arial"/>
          <w:i/>
        </w:rPr>
        <w:t>Tata Zlatko P. donirao je 40-ak slatkih  paketa poklon od tvornice „Koestlin“ iz Bjelovara. Sva djeca počastila su se slatkim paketima u kojima uz kekse bilo još  i štapića i smokića.</w:t>
      </w:r>
    </w:p>
    <w:p w:rsidR="00344C8D" w:rsidRPr="00344C8D" w:rsidRDefault="00344C8D" w:rsidP="00344C8D">
      <w:pPr>
        <w:rPr>
          <w:rFonts w:ascii="Arial" w:hAnsi="Arial" w:cs="Arial"/>
          <w:i/>
        </w:rPr>
      </w:pPr>
      <w:r w:rsidRPr="00344C8D">
        <w:rPr>
          <w:rFonts w:ascii="Arial" w:hAnsi="Arial" w:cs="Arial"/>
          <w:i/>
        </w:rPr>
        <w:t>Studeni: Prva polovica studenog prošla nam je u obilježavanju „Mjesec knjige“. Priča „Djed i repa“ bila nam je podloga za izradu štapnih lutaka, dramatizaciju i za razgovor kako je dobro pomagati i kako zajedničkim naporom dolazimo do dobrog i efikasnog rješenja.</w:t>
      </w:r>
    </w:p>
    <w:p w:rsidR="00344C8D" w:rsidRPr="00344C8D" w:rsidRDefault="00344C8D" w:rsidP="00344C8D">
      <w:pPr>
        <w:rPr>
          <w:rFonts w:ascii="Arial" w:hAnsi="Arial" w:cs="Arial"/>
          <w:i/>
        </w:rPr>
      </w:pPr>
      <w:r w:rsidRPr="00344C8D">
        <w:rPr>
          <w:rFonts w:ascii="Arial" w:hAnsi="Arial" w:cs="Arial"/>
          <w:i/>
        </w:rPr>
        <w:t>Obilježili smo i Dan sjećanja na žrtve Vukovara i Škabrnje, paljenjem svijeća na mjesnom groblju, gledanjem fotografija i čitanjem priča o stradanjima i herojstvu naših branitelja.</w:t>
      </w:r>
    </w:p>
    <w:p w:rsidR="00344C8D" w:rsidRPr="00344C8D" w:rsidRDefault="00344C8D" w:rsidP="00344C8D">
      <w:pPr>
        <w:rPr>
          <w:rFonts w:ascii="Arial" w:hAnsi="Arial" w:cs="Arial"/>
          <w:i/>
        </w:rPr>
      </w:pPr>
      <w:r w:rsidRPr="00344C8D">
        <w:rPr>
          <w:rFonts w:ascii="Arial" w:hAnsi="Arial" w:cs="Arial"/>
          <w:i/>
        </w:rPr>
        <w:t>Uređenje prostora vrtića za Božić. Izrada ukrasa za bor, izrada vjenčića za Došašće , čišćenje i pospremanje kutića u SDB.</w:t>
      </w:r>
    </w:p>
    <w:p w:rsidR="00344C8D" w:rsidRPr="00344C8D" w:rsidRDefault="00344C8D" w:rsidP="00344C8D">
      <w:pPr>
        <w:rPr>
          <w:rFonts w:ascii="Arial" w:hAnsi="Arial" w:cs="Arial"/>
          <w:i/>
        </w:rPr>
      </w:pPr>
      <w:r w:rsidRPr="00344C8D">
        <w:rPr>
          <w:rFonts w:ascii="Arial" w:hAnsi="Arial" w:cs="Arial"/>
          <w:i/>
        </w:rPr>
        <w:t>Prosinac:  Paljenje svijeća na adventskom vjenčiću uz prigodnu priču i razgovor u krugu.</w:t>
      </w:r>
    </w:p>
    <w:p w:rsidR="00344C8D" w:rsidRPr="00344C8D" w:rsidRDefault="00344C8D" w:rsidP="00344C8D">
      <w:pPr>
        <w:rPr>
          <w:rFonts w:ascii="Arial" w:hAnsi="Arial" w:cs="Arial"/>
          <w:i/>
        </w:rPr>
      </w:pPr>
      <w:r w:rsidRPr="00344C8D">
        <w:rPr>
          <w:rFonts w:ascii="Arial" w:hAnsi="Arial" w:cs="Arial"/>
          <w:i/>
        </w:rPr>
        <w:t>Dočekali smo i Sv. Nikolu u našem vrtiću, podijelio nam je poklone koje</w:t>
      </w:r>
      <w:r>
        <w:rPr>
          <w:rFonts w:ascii="Arial" w:hAnsi="Arial" w:cs="Arial"/>
          <w:i/>
        </w:rPr>
        <w:t xml:space="preserve"> je donirala Općina Lipovljani. </w:t>
      </w:r>
      <w:r w:rsidRPr="00344C8D">
        <w:rPr>
          <w:rFonts w:ascii="Arial" w:hAnsi="Arial" w:cs="Arial"/>
          <w:i/>
        </w:rPr>
        <w:t>Na blagdan Sv. Lucije posadili smo pšenicu  u posudice koje su djeca svojevoljno ukrasila. Te posudice zajedno sa ukrasom za božićni bor  (dječja slika u trokutiću od štapića), djeca su odnijela doma i ukrasi</w:t>
      </w:r>
      <w:r>
        <w:rPr>
          <w:rFonts w:ascii="Arial" w:hAnsi="Arial" w:cs="Arial"/>
          <w:i/>
        </w:rPr>
        <w:t>la sa tim svoje božićne borove.</w:t>
      </w:r>
      <w:r w:rsidRPr="00344C8D">
        <w:rPr>
          <w:rFonts w:ascii="Arial" w:hAnsi="Arial" w:cs="Arial"/>
          <w:i/>
        </w:rPr>
        <w:t>Nabavljena velika i mala slova od brusnog papira za djecu koja imaju poteškoće sa prepoznavanjem i imenovanjem slova. Kupljene su i Artikulacijske kartice koje sadrže sliku i glas te slike. Igra je izrađena u sklopu logopedskog programa i u suradnji sa logopedima, kao pomoć djeci kod pravilnog učenja i izgovaranja pojedinih glasova. Igra sadrži 568 slikovnih kartica.</w:t>
      </w:r>
    </w:p>
    <w:p w:rsidR="001431F1" w:rsidRPr="00CB15F4" w:rsidRDefault="00520778" w:rsidP="00CB15F4">
      <w:pPr>
        <w:rPr>
          <w:rFonts w:ascii="Arial" w:hAnsi="Arial" w:cs="Arial"/>
        </w:rPr>
      </w:pPr>
      <w:bookmarkStart w:id="0" w:name="_GoBack"/>
      <w:bookmarkEnd w:id="0"/>
      <w:r>
        <w:rPr>
          <w:rFonts w:ascii="Arial" w:hAnsi="Arial" w:cs="Arial"/>
          <w:i/>
        </w:rPr>
        <w:t>U Lipovljanima, 2</w:t>
      </w:r>
      <w:r w:rsidR="00EB6940">
        <w:rPr>
          <w:rFonts w:ascii="Arial" w:hAnsi="Arial" w:cs="Arial"/>
          <w:i/>
        </w:rPr>
        <w:t>6</w:t>
      </w:r>
      <w:r>
        <w:rPr>
          <w:rFonts w:ascii="Arial" w:hAnsi="Arial" w:cs="Arial"/>
          <w:i/>
        </w:rPr>
        <w:t>.</w:t>
      </w:r>
      <w:r w:rsidR="00CB15F4">
        <w:rPr>
          <w:rFonts w:ascii="Arial" w:hAnsi="Arial" w:cs="Arial"/>
          <w:i/>
        </w:rPr>
        <w:t>siječnja 20</w:t>
      </w:r>
      <w:r>
        <w:rPr>
          <w:rFonts w:ascii="Arial" w:hAnsi="Arial" w:cs="Arial"/>
          <w:i/>
        </w:rPr>
        <w:t>2</w:t>
      </w:r>
      <w:r w:rsidR="00EB6940">
        <w:rPr>
          <w:rFonts w:ascii="Arial" w:hAnsi="Arial" w:cs="Arial"/>
          <w:i/>
        </w:rPr>
        <w:t>1</w:t>
      </w:r>
      <w:r w:rsidR="00CB15F4">
        <w:rPr>
          <w:rFonts w:ascii="Arial" w:hAnsi="Arial" w:cs="Arial"/>
          <w:i/>
        </w:rPr>
        <w:t xml:space="preserve">.g. </w:t>
      </w:r>
    </w:p>
    <w:p w:rsidR="00BE7759" w:rsidRDefault="002A63AB" w:rsidP="00FD4232">
      <w:pPr>
        <w:spacing w:line="240" w:lineRule="auto"/>
        <w:rPr>
          <w:rFonts w:ascii="Arial" w:hAnsi="Arial" w:cs="Arial"/>
        </w:rPr>
      </w:pPr>
      <w:r w:rsidRPr="00CB15F4">
        <w:rPr>
          <w:rFonts w:ascii="Arial" w:hAnsi="Arial" w:cs="Arial"/>
        </w:rPr>
        <w:t xml:space="preserve">                                                                                 </w:t>
      </w:r>
      <w:r w:rsidR="00CB15F4">
        <w:rPr>
          <w:rFonts w:ascii="Arial" w:hAnsi="Arial" w:cs="Arial"/>
        </w:rPr>
        <w:t xml:space="preserve">                               </w:t>
      </w:r>
      <w:r w:rsidRPr="00CB15F4">
        <w:rPr>
          <w:rFonts w:ascii="Arial" w:hAnsi="Arial" w:cs="Arial"/>
        </w:rPr>
        <w:t xml:space="preserve">  </w:t>
      </w:r>
      <w:r w:rsidR="00E6259F" w:rsidRPr="00CB15F4">
        <w:rPr>
          <w:rFonts w:ascii="Arial" w:hAnsi="Arial" w:cs="Arial"/>
        </w:rPr>
        <w:t>Ravnateljica</w:t>
      </w:r>
      <w:r w:rsidR="00BC7619" w:rsidRPr="00CB15F4">
        <w:rPr>
          <w:rFonts w:ascii="Arial" w:hAnsi="Arial" w:cs="Arial"/>
        </w:rPr>
        <w:t xml:space="preserve">; </w:t>
      </w:r>
    </w:p>
    <w:p w:rsidR="00E6259F" w:rsidRPr="00CB15F4" w:rsidRDefault="00BE7759" w:rsidP="00BE7759">
      <w:pPr>
        <w:spacing w:line="240" w:lineRule="auto"/>
        <w:ind w:left="5760"/>
        <w:rPr>
          <w:rFonts w:ascii="Arial" w:hAnsi="Arial" w:cs="Arial"/>
        </w:rPr>
      </w:pPr>
      <w:r>
        <w:rPr>
          <w:rFonts w:ascii="Arial" w:hAnsi="Arial" w:cs="Arial"/>
        </w:rPr>
        <w:t xml:space="preserve">          </w:t>
      </w:r>
      <w:r w:rsidR="002F40D9" w:rsidRPr="00CB15F4">
        <w:rPr>
          <w:rFonts w:ascii="Arial" w:hAnsi="Arial" w:cs="Arial"/>
        </w:rPr>
        <w:t xml:space="preserve">Marija Duda </w:t>
      </w:r>
    </w:p>
    <w:sectPr w:rsidR="00E6259F" w:rsidRPr="00CB15F4">
      <w:headerReference w:type="default" r:id="rId10"/>
      <w:footerReference w:type="default" r:id="rId11"/>
      <w:pgSz w:w="12240" w:h="15840"/>
      <w:pgMar w:top="1440" w:right="1800" w:bottom="1440" w:left="180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50" w:rsidRDefault="00954750">
      <w:pPr>
        <w:spacing w:after="0" w:line="240" w:lineRule="auto"/>
      </w:pPr>
      <w:r>
        <w:separator/>
      </w:r>
    </w:p>
  </w:endnote>
  <w:endnote w:type="continuationSeparator" w:id="0">
    <w:p w:rsidR="00954750" w:rsidRDefault="0095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PMincho">
    <w:altName w:val="ＭＳ Ｐ明朝"/>
    <w:panose1 w:val="00000000000000000000"/>
    <w:charset w:val="8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662" w:rsidRDefault="00B43AFC">
    <w:pPr>
      <w:pStyle w:val="Podnoje"/>
    </w:pPr>
    <w:r>
      <w:ptab w:relativeTo="margin" w:alignment="right" w:leader="none"/>
    </w:r>
    <w:r>
      <w:fldChar w:fldCharType="begin"/>
    </w:r>
    <w:r>
      <w:instrText>PAGE</w:instrText>
    </w:r>
    <w:r>
      <w:fldChar w:fldCharType="separate"/>
    </w:r>
    <w:r w:rsidR="00344C8D">
      <w:rPr>
        <w:noProof/>
      </w:rPr>
      <w:t>6</w:t>
    </w:r>
    <w:r>
      <w:rPr>
        <w:noProof/>
      </w:rPr>
      <w:fldChar w:fldCharType="end"/>
    </w:r>
    <w:r>
      <w:t xml:space="preserve"> </w:t>
    </w:r>
    <w:r>
      <w:rPr>
        <w:noProof/>
      </w:rPr>
      <mc:AlternateContent>
        <mc:Choice Requires="wps">
          <w:drawing>
            <wp:inline distT="0" distB="0" distL="0" distR="0" wp14:editId="11101075">
              <wp:extent cx="91440" cy="91440"/>
              <wp:effectExtent l="19050" t="19050" r="22860" b="22860"/>
              <wp:docPr id="72" name="Ovaln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029A0FA0" id="Ovalno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i1JAMAAJg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50" w:rsidRDefault="00954750">
      <w:pPr>
        <w:spacing w:after="0" w:line="240" w:lineRule="auto"/>
      </w:pPr>
      <w:r>
        <w:separator/>
      </w:r>
    </w:p>
  </w:footnote>
  <w:footnote w:type="continuationSeparator" w:id="0">
    <w:p w:rsidR="00954750" w:rsidRDefault="00954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728"/>
      <w:gridCol w:w="6912"/>
    </w:tblGrid>
    <w:sdt>
      <w:sdtPr>
        <w:id w:val="945654878"/>
        <w:docPartObj>
          <w:docPartGallery w:val="Page Numbers (Top of Page)"/>
          <w:docPartUnique/>
        </w:docPartObj>
      </w:sdtPr>
      <w:sdtEndPr>
        <w:rPr>
          <w:rFonts w:asciiTheme="majorHAnsi" w:eastAsiaTheme="majorEastAsia" w:hAnsiTheme="majorHAnsi" w:cstheme="majorBidi"/>
          <w:sz w:val="28"/>
          <w:szCs w:val="28"/>
        </w:rPr>
      </w:sdtEndPr>
      <w:sdtContent>
        <w:tr w:rsidR="00387EBC">
          <w:trPr>
            <w:trHeight w:val="1080"/>
          </w:trPr>
          <w:tc>
            <w:tcPr>
              <w:tcW w:w="1000" w:type="pct"/>
              <w:tcBorders>
                <w:right w:val="triple" w:sz="4" w:space="0" w:color="FE8637" w:themeColor="accent1"/>
              </w:tcBorders>
              <w:vAlign w:val="bottom"/>
            </w:tcPr>
            <w:p w:rsidR="00387EBC" w:rsidRDefault="00387EBC">
              <w:pPr>
                <w:pStyle w:val="Bezproreda"/>
                <w:jc w:val="right"/>
                <w:rPr>
                  <w:rFonts w:asciiTheme="majorHAnsi" w:eastAsiaTheme="majorEastAsia" w:hAnsiTheme="majorHAnsi" w:cstheme="majorBidi"/>
                  <w:sz w:val="20"/>
                  <w:szCs w:val="20"/>
                </w:rPr>
              </w:pPr>
              <w:r>
                <w:fldChar w:fldCharType="begin"/>
              </w:r>
              <w:r>
                <w:instrText>PAGE    \* MERGEFORMAT</w:instrText>
              </w:r>
              <w:r>
                <w:fldChar w:fldCharType="separate"/>
              </w:r>
              <w:r w:rsidR="00344C8D">
                <w:rPr>
                  <w:noProof/>
                </w:rPr>
                <w:t>6</w:t>
              </w:r>
              <w:r>
                <w:fldChar w:fldCharType="end"/>
              </w:r>
            </w:p>
          </w:tc>
          <w:tc>
            <w:tcPr>
              <w:tcW w:w="4000" w:type="pct"/>
              <w:tcBorders>
                <w:left w:val="triple" w:sz="4" w:space="0" w:color="FE8637" w:themeColor="accent1"/>
              </w:tcBorders>
              <w:vAlign w:val="bottom"/>
            </w:tcPr>
            <w:p w:rsidR="00387EBC" w:rsidRDefault="00387EBC">
              <w:pPr>
                <w:pStyle w:val="Bezproreda"/>
                <w:rPr>
                  <w:rFonts w:asciiTheme="majorHAnsi" w:eastAsiaTheme="majorEastAsia" w:hAnsiTheme="majorHAnsi" w:cstheme="majorBidi"/>
                  <w:sz w:val="28"/>
                  <w:szCs w:val="28"/>
                </w:rPr>
              </w:pPr>
            </w:p>
          </w:tc>
        </w:tr>
      </w:sdtContent>
    </w:sdt>
  </w:tbl>
  <w:p w:rsidR="00130662" w:rsidRDefault="0013066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9ED"/>
    <w:multiLevelType w:val="multilevel"/>
    <w:tmpl w:val="CD40BF9A"/>
    <w:styleLink w:val="Popissgrafikimoznakama"/>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15:restartNumberingAfterBreak="0">
    <w:nsid w:val="0D7B6A2B"/>
    <w:multiLevelType w:val="hybridMultilevel"/>
    <w:tmpl w:val="567E9C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7E3499"/>
    <w:multiLevelType w:val="multilevel"/>
    <w:tmpl w:val="85C08436"/>
    <w:styleLink w:val="Numeriranipopis"/>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3" w15:restartNumberingAfterBreak="0">
    <w:nsid w:val="231D4EFF"/>
    <w:multiLevelType w:val="hybridMultilevel"/>
    <w:tmpl w:val="737A7AF0"/>
    <w:lvl w:ilvl="0" w:tplc="8C96EEAA">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B6653A5"/>
    <w:multiLevelType w:val="hybridMultilevel"/>
    <w:tmpl w:val="AA6C659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8093C82"/>
    <w:multiLevelType w:val="hybridMultilevel"/>
    <w:tmpl w:val="06100E00"/>
    <w:lvl w:ilvl="0" w:tplc="C9F4242C">
      <w:start w:val="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5"/>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34"/>
    <w:rsid w:val="00010B7D"/>
    <w:rsid w:val="000A1AEB"/>
    <w:rsid w:val="000B25F2"/>
    <w:rsid w:val="000C6E7F"/>
    <w:rsid w:val="000D0445"/>
    <w:rsid w:val="00100C4E"/>
    <w:rsid w:val="0010657C"/>
    <w:rsid w:val="00130662"/>
    <w:rsid w:val="001431F1"/>
    <w:rsid w:val="0015365F"/>
    <w:rsid w:val="00174104"/>
    <w:rsid w:val="001832A6"/>
    <w:rsid w:val="0019677A"/>
    <w:rsid w:val="001A43DB"/>
    <w:rsid w:val="001B121D"/>
    <w:rsid w:val="001E4E01"/>
    <w:rsid w:val="00234F03"/>
    <w:rsid w:val="00252772"/>
    <w:rsid w:val="0025755A"/>
    <w:rsid w:val="00282B40"/>
    <w:rsid w:val="002868E5"/>
    <w:rsid w:val="002A63AB"/>
    <w:rsid w:val="002C2C3F"/>
    <w:rsid w:val="002C47AF"/>
    <w:rsid w:val="002C4F55"/>
    <w:rsid w:val="002E52DA"/>
    <w:rsid w:val="002F40D9"/>
    <w:rsid w:val="00344C8D"/>
    <w:rsid w:val="003844DB"/>
    <w:rsid w:val="00387EBC"/>
    <w:rsid w:val="0039313D"/>
    <w:rsid w:val="00393AFF"/>
    <w:rsid w:val="003A58A6"/>
    <w:rsid w:val="003A785B"/>
    <w:rsid w:val="003D44D1"/>
    <w:rsid w:val="003D482C"/>
    <w:rsid w:val="004066F8"/>
    <w:rsid w:val="00427BF2"/>
    <w:rsid w:val="00433BF3"/>
    <w:rsid w:val="00434F57"/>
    <w:rsid w:val="00460A67"/>
    <w:rsid w:val="004763B7"/>
    <w:rsid w:val="004B1A89"/>
    <w:rsid w:val="004C6183"/>
    <w:rsid w:val="004D0CC3"/>
    <w:rsid w:val="004D668B"/>
    <w:rsid w:val="004F221B"/>
    <w:rsid w:val="00520778"/>
    <w:rsid w:val="005216BF"/>
    <w:rsid w:val="00527EDC"/>
    <w:rsid w:val="0053615A"/>
    <w:rsid w:val="00570011"/>
    <w:rsid w:val="005839A8"/>
    <w:rsid w:val="005D2916"/>
    <w:rsid w:val="006252DC"/>
    <w:rsid w:val="00644F2C"/>
    <w:rsid w:val="006470F0"/>
    <w:rsid w:val="00672498"/>
    <w:rsid w:val="0068678B"/>
    <w:rsid w:val="006939B0"/>
    <w:rsid w:val="006C1F19"/>
    <w:rsid w:val="006D15BC"/>
    <w:rsid w:val="006D3609"/>
    <w:rsid w:val="006D7F26"/>
    <w:rsid w:val="00715134"/>
    <w:rsid w:val="00727EF8"/>
    <w:rsid w:val="00730712"/>
    <w:rsid w:val="00731892"/>
    <w:rsid w:val="007639AB"/>
    <w:rsid w:val="007A3E64"/>
    <w:rsid w:val="007A7DC6"/>
    <w:rsid w:val="007C73F2"/>
    <w:rsid w:val="007D7313"/>
    <w:rsid w:val="007F051D"/>
    <w:rsid w:val="007F3ABA"/>
    <w:rsid w:val="00805019"/>
    <w:rsid w:val="00871E76"/>
    <w:rsid w:val="00877647"/>
    <w:rsid w:val="008F7D0F"/>
    <w:rsid w:val="009019DE"/>
    <w:rsid w:val="009116F2"/>
    <w:rsid w:val="00913DD4"/>
    <w:rsid w:val="00930B50"/>
    <w:rsid w:val="00954750"/>
    <w:rsid w:val="00983243"/>
    <w:rsid w:val="00984083"/>
    <w:rsid w:val="00992A61"/>
    <w:rsid w:val="009C68E8"/>
    <w:rsid w:val="009D62EF"/>
    <w:rsid w:val="00A05DE5"/>
    <w:rsid w:val="00A07B69"/>
    <w:rsid w:val="00A10DB4"/>
    <w:rsid w:val="00AC0DC0"/>
    <w:rsid w:val="00B05F29"/>
    <w:rsid w:val="00B1145E"/>
    <w:rsid w:val="00B1272B"/>
    <w:rsid w:val="00B241EE"/>
    <w:rsid w:val="00B35C9E"/>
    <w:rsid w:val="00B374B8"/>
    <w:rsid w:val="00B432A0"/>
    <w:rsid w:val="00B43AFC"/>
    <w:rsid w:val="00B567D9"/>
    <w:rsid w:val="00B65B01"/>
    <w:rsid w:val="00B94FB4"/>
    <w:rsid w:val="00BB336B"/>
    <w:rsid w:val="00BC7619"/>
    <w:rsid w:val="00BE6033"/>
    <w:rsid w:val="00BE7759"/>
    <w:rsid w:val="00BF2DDD"/>
    <w:rsid w:val="00C13829"/>
    <w:rsid w:val="00C35BE9"/>
    <w:rsid w:val="00C841B4"/>
    <w:rsid w:val="00C84C53"/>
    <w:rsid w:val="00CB0AFC"/>
    <w:rsid w:val="00CB15F4"/>
    <w:rsid w:val="00CC133C"/>
    <w:rsid w:val="00CD57FE"/>
    <w:rsid w:val="00D11FD7"/>
    <w:rsid w:val="00D2009A"/>
    <w:rsid w:val="00D6234C"/>
    <w:rsid w:val="00D66DA9"/>
    <w:rsid w:val="00D846E4"/>
    <w:rsid w:val="00DA729A"/>
    <w:rsid w:val="00DC22BB"/>
    <w:rsid w:val="00DE4710"/>
    <w:rsid w:val="00E57CD0"/>
    <w:rsid w:val="00E6259F"/>
    <w:rsid w:val="00E631F3"/>
    <w:rsid w:val="00E9110E"/>
    <w:rsid w:val="00EB096B"/>
    <w:rsid w:val="00EB6940"/>
    <w:rsid w:val="00ED50C2"/>
    <w:rsid w:val="00EE795B"/>
    <w:rsid w:val="00F02099"/>
    <w:rsid w:val="00F12BC6"/>
    <w:rsid w:val="00F76D71"/>
    <w:rsid w:val="00F93E56"/>
    <w:rsid w:val="00FB16C9"/>
    <w:rsid w:val="00FB419E"/>
    <w:rsid w:val="00FD26CA"/>
    <w:rsid w:val="00FD4232"/>
    <w:rsid w:val="00FF0020"/>
    <w:rsid w:val="00FF6C9A"/>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0E19EF-3CD3-4EB9-8E67-875B8EB8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HAnsi"/>
      <w:color w:val="414751" w:themeColor="text2" w:themeShade="BF"/>
      <w:sz w:val="20"/>
      <w:szCs w:val="20"/>
    </w:rPr>
  </w:style>
  <w:style w:type="paragraph" w:styleId="Naslov1">
    <w:name w:val="heading 1"/>
    <w:basedOn w:val="Normal"/>
    <w:next w:val="Normal"/>
    <w:link w:val="Naslov1Char"/>
    <w:uiPriority w:val="9"/>
    <w:unhideWhenUsed/>
    <w:qFormat/>
    <w:pPr>
      <w:spacing w:before="360" w:after="40"/>
      <w:outlineLvl w:val="0"/>
    </w:pPr>
    <w:rPr>
      <w:rFonts w:asciiTheme="majorHAnsi" w:hAnsiTheme="majorHAnsi"/>
      <w:smallCaps/>
      <w:spacing w:val="5"/>
      <w:sz w:val="32"/>
      <w:szCs w:val="32"/>
    </w:rPr>
  </w:style>
  <w:style w:type="paragraph" w:styleId="Naslov2">
    <w:name w:val="heading 2"/>
    <w:basedOn w:val="Normal"/>
    <w:next w:val="Normal"/>
    <w:link w:val="Naslov2Char"/>
    <w:uiPriority w:val="9"/>
    <w:unhideWhenUsed/>
    <w:qFormat/>
    <w:pPr>
      <w:spacing w:after="0"/>
      <w:outlineLvl w:val="1"/>
    </w:pPr>
    <w:rPr>
      <w:rFonts w:asciiTheme="majorHAnsi" w:hAnsiTheme="majorHAnsi"/>
      <w:sz w:val="28"/>
      <w:szCs w:val="28"/>
    </w:rPr>
  </w:style>
  <w:style w:type="paragraph" w:styleId="Naslov3">
    <w:name w:val="heading 3"/>
    <w:basedOn w:val="Normal"/>
    <w:next w:val="Normal"/>
    <w:link w:val="Naslov3Char"/>
    <w:uiPriority w:val="9"/>
    <w:semiHidden/>
    <w:unhideWhenUsed/>
    <w:qFormat/>
    <w:pPr>
      <w:spacing w:after="0"/>
      <w:outlineLvl w:val="2"/>
    </w:pPr>
    <w:rPr>
      <w:rFonts w:asciiTheme="majorHAnsi" w:hAnsiTheme="majorHAnsi"/>
      <w:spacing w:val="5"/>
      <w:sz w:val="24"/>
      <w:szCs w:val="24"/>
    </w:rPr>
  </w:style>
  <w:style w:type="paragraph" w:styleId="Naslov4">
    <w:name w:val="heading 4"/>
    <w:basedOn w:val="Normal"/>
    <w:next w:val="Normal"/>
    <w:link w:val="Naslov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Naslov5">
    <w:name w:val="heading 5"/>
    <w:basedOn w:val="Normal"/>
    <w:next w:val="Normal"/>
    <w:link w:val="Naslov5Char"/>
    <w:uiPriority w:val="9"/>
    <w:semiHidden/>
    <w:unhideWhenUsed/>
    <w:qFormat/>
    <w:pPr>
      <w:spacing w:after="0"/>
      <w:outlineLvl w:val="4"/>
    </w:pPr>
    <w:rPr>
      <w:i/>
      <w:color w:val="E65B01" w:themeColor="accent1" w:themeShade="BF"/>
      <w:sz w:val="22"/>
      <w:szCs w:val="22"/>
    </w:rPr>
  </w:style>
  <w:style w:type="paragraph" w:styleId="Naslov6">
    <w:name w:val="heading 6"/>
    <w:basedOn w:val="Normal"/>
    <w:next w:val="Normal"/>
    <w:link w:val="Naslov6Char"/>
    <w:uiPriority w:val="9"/>
    <w:semiHidden/>
    <w:unhideWhenUsed/>
    <w:qFormat/>
    <w:pPr>
      <w:spacing w:after="0"/>
      <w:outlineLvl w:val="5"/>
    </w:pPr>
    <w:rPr>
      <w:b/>
      <w:color w:val="E65B01" w:themeColor="accent1" w:themeShade="BF"/>
    </w:rPr>
  </w:style>
  <w:style w:type="paragraph" w:styleId="Naslov7">
    <w:name w:val="heading 7"/>
    <w:basedOn w:val="Normal"/>
    <w:next w:val="Normal"/>
    <w:link w:val="Naslov7Char"/>
    <w:uiPriority w:val="9"/>
    <w:semiHidden/>
    <w:unhideWhenUsed/>
    <w:qFormat/>
    <w:pPr>
      <w:spacing w:after="0"/>
      <w:outlineLvl w:val="6"/>
    </w:pPr>
    <w:rPr>
      <w:b/>
      <w:i/>
      <w:color w:val="E65B01" w:themeColor="accent1" w:themeShade="BF"/>
    </w:rPr>
  </w:style>
  <w:style w:type="paragraph" w:styleId="Naslov8">
    <w:name w:val="heading 8"/>
    <w:basedOn w:val="Normal"/>
    <w:next w:val="Normal"/>
    <w:link w:val="Naslov8Char"/>
    <w:uiPriority w:val="9"/>
    <w:semiHidden/>
    <w:unhideWhenUsed/>
    <w:qFormat/>
    <w:pPr>
      <w:spacing w:after="0"/>
      <w:outlineLvl w:val="7"/>
    </w:pPr>
    <w:rPr>
      <w:b/>
      <w:color w:val="3667C3" w:themeColor="accent2" w:themeShade="BF"/>
    </w:rPr>
  </w:style>
  <w:style w:type="paragraph" w:styleId="Naslov9">
    <w:name w:val="heading 9"/>
    <w:basedOn w:val="Normal"/>
    <w:next w:val="Normal"/>
    <w:link w:val="Naslov9Char"/>
    <w:uiPriority w:val="9"/>
    <w:semiHidden/>
    <w:unhideWhenUsed/>
    <w:qFormat/>
    <w:pPr>
      <w:spacing w:after="0"/>
      <w:outlineLvl w:val="8"/>
    </w:pPr>
    <w:rPr>
      <w:b/>
      <w:i/>
      <w:color w:val="3667C3" w:themeColor="accent2" w:themeShade="BF"/>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Pr>
      <w:rFonts w:asciiTheme="majorHAnsi" w:hAnsiTheme="majorHAnsi" w:cstheme="minorHAnsi"/>
      <w:smallCaps/>
      <w:color w:val="414751" w:themeColor="text2" w:themeShade="BF"/>
      <w:spacing w:val="5"/>
      <w:sz w:val="32"/>
      <w:szCs w:val="32"/>
    </w:rPr>
  </w:style>
  <w:style w:type="character" w:customStyle="1" w:styleId="Naslov2Char">
    <w:name w:val="Naslov 2 Char"/>
    <w:basedOn w:val="Zadanifontodlomka"/>
    <w:link w:val="Naslov2"/>
    <w:uiPriority w:val="9"/>
    <w:rPr>
      <w:rFonts w:asciiTheme="majorHAnsi" w:hAnsiTheme="majorHAnsi" w:cstheme="minorHAnsi"/>
      <w:color w:val="414751" w:themeColor="text2" w:themeShade="BF"/>
      <w:sz w:val="28"/>
      <w:szCs w:val="28"/>
    </w:rPr>
  </w:style>
  <w:style w:type="paragraph" w:styleId="Naslov">
    <w:name w:val="Title"/>
    <w:basedOn w:val="Normal"/>
    <w:link w:val="NaslovChar"/>
    <w:uiPriority w:val="10"/>
    <w:qFormat/>
    <w:rPr>
      <w:rFonts w:asciiTheme="majorHAnsi" w:hAnsiTheme="majorHAnsi"/>
      <w:smallCaps/>
      <w:color w:val="FE8637" w:themeColor="accent1"/>
      <w:spacing w:val="10"/>
      <w:sz w:val="48"/>
      <w:szCs w:val="48"/>
    </w:rPr>
  </w:style>
  <w:style w:type="character" w:customStyle="1" w:styleId="NaslovChar">
    <w:name w:val="Naslov Char"/>
    <w:basedOn w:val="Zadanifontodlomka"/>
    <w:link w:val="Naslov"/>
    <w:uiPriority w:val="10"/>
    <w:rPr>
      <w:rFonts w:asciiTheme="majorHAnsi" w:hAnsiTheme="majorHAnsi" w:cstheme="minorHAnsi"/>
      <w:smallCaps/>
      <w:color w:val="FE8637" w:themeColor="accent1"/>
      <w:spacing w:val="10"/>
      <w:sz w:val="48"/>
      <w:szCs w:val="48"/>
    </w:rPr>
  </w:style>
  <w:style w:type="paragraph" w:styleId="Podnaslov">
    <w:name w:val="Subtitle"/>
    <w:basedOn w:val="Normal"/>
    <w:link w:val="PodnaslovChar"/>
    <w:uiPriority w:val="11"/>
    <w:qFormat/>
    <w:rPr>
      <w:i/>
      <w:color w:val="575F6D" w:themeColor="text2"/>
      <w:spacing w:val="5"/>
      <w:sz w:val="24"/>
      <w:szCs w:val="24"/>
    </w:rPr>
  </w:style>
  <w:style w:type="character" w:customStyle="1" w:styleId="PodnaslovChar">
    <w:name w:val="Podnaslov Char"/>
    <w:basedOn w:val="Zadanifontodlomka"/>
    <w:link w:val="Podnaslov"/>
    <w:uiPriority w:val="11"/>
    <w:rPr>
      <w:rFonts w:cstheme="minorHAnsi"/>
      <w:i/>
      <w:color w:val="575F6D" w:themeColor="text2"/>
      <w:spacing w:val="5"/>
      <w:sz w:val="24"/>
      <w:szCs w:val="24"/>
    </w:rPr>
  </w:style>
  <w:style w:type="paragraph" w:styleId="Tekstbalonia">
    <w:name w:val="Balloon Text"/>
    <w:basedOn w:val="Normal"/>
    <w:link w:val="TekstbaloniaChar"/>
    <w:uiPriority w:val="99"/>
    <w:semiHidden/>
    <w:unhideWhenUs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color w:val="414751" w:themeColor="text2" w:themeShade="BF"/>
      <w:sz w:val="16"/>
      <w:szCs w:val="16"/>
    </w:rPr>
  </w:style>
  <w:style w:type="character" w:styleId="Naslovknjige">
    <w:name w:val="Book Title"/>
    <w:basedOn w:val="Zadanifontodlomka"/>
    <w:uiPriority w:val="33"/>
    <w:qFormat/>
    <w:rPr>
      <w:rFonts w:cs="Times New Roman"/>
      <w:smallCaps/>
      <w:color w:val="000000"/>
      <w:spacing w:val="10"/>
    </w:rPr>
  </w:style>
  <w:style w:type="numbering" w:customStyle="1" w:styleId="Popissgrafikimoznakama">
    <w:name w:val="Popis s grafičkim oznakama"/>
    <w:uiPriority w:val="99"/>
    <w:pPr>
      <w:numPr>
        <w:numId w:val="1"/>
      </w:numPr>
    </w:pPr>
  </w:style>
  <w:style w:type="paragraph" w:styleId="Opisslike">
    <w:name w:val="caption"/>
    <w:basedOn w:val="Normal"/>
    <w:next w:val="Normal"/>
    <w:uiPriority w:val="99"/>
    <w:unhideWhenUsed/>
    <w:pPr>
      <w:spacing w:line="240" w:lineRule="auto"/>
      <w:jc w:val="right"/>
    </w:pPr>
    <w:rPr>
      <w:b/>
      <w:bCs/>
      <w:color w:val="E65B01" w:themeColor="accent1" w:themeShade="BF"/>
      <w:sz w:val="16"/>
      <w:szCs w:val="16"/>
    </w:rPr>
  </w:style>
  <w:style w:type="character" w:styleId="Istaknuto">
    <w:name w:val="Emphasis"/>
    <w:uiPriority w:val="20"/>
    <w:qFormat/>
    <w:rPr>
      <w:b/>
      <w:i/>
      <w:color w:val="2B2F36" w:themeColor="text2" w:themeShade="80"/>
      <w:spacing w:val="10"/>
      <w:sz w:val="18"/>
      <w:szCs w:val="18"/>
    </w:rPr>
  </w:style>
  <w:style w:type="paragraph" w:styleId="Podnoje">
    <w:name w:val="footer"/>
    <w:basedOn w:val="Normal"/>
    <w:link w:val="PodnojeChar"/>
    <w:uiPriority w:val="99"/>
    <w:unhideWhenUsed/>
    <w:pPr>
      <w:tabs>
        <w:tab w:val="center" w:pos="4680"/>
        <w:tab w:val="right" w:pos="9360"/>
      </w:tabs>
      <w:spacing w:after="0" w:line="240" w:lineRule="auto"/>
    </w:pPr>
  </w:style>
  <w:style w:type="character" w:customStyle="1" w:styleId="PodnojeChar">
    <w:name w:val="Podnožje Char"/>
    <w:basedOn w:val="Zadanifontodlomka"/>
    <w:link w:val="Podnoje"/>
    <w:uiPriority w:val="99"/>
    <w:rPr>
      <w:rFonts w:cstheme="minorHAnsi"/>
      <w:color w:val="414751" w:themeColor="text2" w:themeShade="BF"/>
      <w:sz w:val="20"/>
      <w:szCs w:val="20"/>
    </w:rPr>
  </w:style>
  <w:style w:type="paragraph" w:styleId="Zaglavlje">
    <w:name w:val="header"/>
    <w:basedOn w:val="Normal"/>
    <w:link w:val="ZaglavljeChar"/>
    <w:uiPriority w:val="99"/>
    <w:unhideWhenUsed/>
    <w:pPr>
      <w:tabs>
        <w:tab w:val="center" w:pos="4680"/>
        <w:tab w:val="right" w:pos="9360"/>
      </w:tabs>
      <w:spacing w:after="0" w:line="240" w:lineRule="auto"/>
    </w:pPr>
  </w:style>
  <w:style w:type="character" w:customStyle="1" w:styleId="ZaglavljeChar">
    <w:name w:val="Zaglavlje Char"/>
    <w:basedOn w:val="Zadanifontodlomka"/>
    <w:link w:val="Zaglavlje"/>
    <w:uiPriority w:val="99"/>
    <w:rPr>
      <w:rFonts w:cstheme="minorHAnsi"/>
      <w:color w:val="414751" w:themeColor="text2" w:themeShade="BF"/>
      <w:sz w:val="20"/>
      <w:szCs w:val="20"/>
    </w:rPr>
  </w:style>
  <w:style w:type="character" w:customStyle="1" w:styleId="Naslov3Char">
    <w:name w:val="Naslov 3 Char"/>
    <w:basedOn w:val="Zadanifontodlomka"/>
    <w:link w:val="Naslov3"/>
    <w:uiPriority w:val="9"/>
    <w:semiHidden/>
    <w:rPr>
      <w:rFonts w:asciiTheme="majorHAnsi" w:hAnsiTheme="majorHAnsi" w:cstheme="minorHAnsi"/>
      <w:color w:val="414751" w:themeColor="text2" w:themeShade="BF"/>
      <w:spacing w:val="5"/>
      <w:sz w:val="24"/>
      <w:szCs w:val="24"/>
    </w:rPr>
  </w:style>
  <w:style w:type="character" w:customStyle="1" w:styleId="Naslov4Char">
    <w:name w:val="Naslov 4 Char"/>
    <w:basedOn w:val="Zadanifontodlomka"/>
    <w:link w:val="Naslov4"/>
    <w:uiPriority w:val="9"/>
    <w:semiHidden/>
    <w:rPr>
      <w:rFonts w:asciiTheme="majorHAnsi" w:hAnsiTheme="majorHAnsi" w:cstheme="minorHAnsi"/>
      <w:color w:val="E65B01" w:themeColor="accent1" w:themeShade="BF"/>
    </w:rPr>
  </w:style>
  <w:style w:type="character" w:customStyle="1" w:styleId="Naslov5Char">
    <w:name w:val="Naslov 5 Char"/>
    <w:basedOn w:val="Zadanifontodlomka"/>
    <w:link w:val="Naslov5"/>
    <w:uiPriority w:val="9"/>
    <w:semiHidden/>
    <w:rPr>
      <w:rFonts w:cstheme="minorHAnsi"/>
      <w:i/>
      <w:color w:val="E65B01" w:themeColor="accent1" w:themeShade="BF"/>
    </w:rPr>
  </w:style>
  <w:style w:type="character" w:customStyle="1" w:styleId="Naslov6Char">
    <w:name w:val="Naslov 6 Char"/>
    <w:basedOn w:val="Zadanifontodlomka"/>
    <w:link w:val="Naslov6"/>
    <w:uiPriority w:val="9"/>
    <w:semiHidden/>
    <w:rPr>
      <w:rFonts w:cstheme="minorHAnsi"/>
      <w:b/>
      <w:color w:val="E65B01" w:themeColor="accent1" w:themeShade="BF"/>
      <w:sz w:val="20"/>
      <w:szCs w:val="20"/>
    </w:rPr>
  </w:style>
  <w:style w:type="character" w:customStyle="1" w:styleId="Naslov7Char">
    <w:name w:val="Naslov 7 Char"/>
    <w:basedOn w:val="Zadanifontodlomka"/>
    <w:link w:val="Naslov7"/>
    <w:uiPriority w:val="9"/>
    <w:semiHidden/>
    <w:rPr>
      <w:rFonts w:cstheme="minorHAnsi"/>
      <w:b/>
      <w:i/>
      <w:color w:val="E65B01" w:themeColor="accent1" w:themeShade="BF"/>
      <w:sz w:val="20"/>
      <w:szCs w:val="20"/>
    </w:rPr>
  </w:style>
  <w:style w:type="character" w:customStyle="1" w:styleId="Naslov8Char">
    <w:name w:val="Naslov 8 Char"/>
    <w:basedOn w:val="Zadanifontodlomka"/>
    <w:link w:val="Naslov8"/>
    <w:uiPriority w:val="9"/>
    <w:semiHidden/>
    <w:rPr>
      <w:rFonts w:cstheme="minorHAnsi"/>
      <w:b/>
      <w:color w:val="3667C3" w:themeColor="accent2" w:themeShade="BF"/>
      <w:sz w:val="20"/>
      <w:szCs w:val="20"/>
    </w:rPr>
  </w:style>
  <w:style w:type="character" w:customStyle="1" w:styleId="Naslov9Char">
    <w:name w:val="Naslov 9 Char"/>
    <w:basedOn w:val="Zadanifontodlomka"/>
    <w:link w:val="Naslov9"/>
    <w:uiPriority w:val="9"/>
    <w:semiHidden/>
    <w:rPr>
      <w:rFonts w:cstheme="minorHAnsi"/>
      <w:b/>
      <w:i/>
      <w:color w:val="3667C3" w:themeColor="accent2" w:themeShade="BF"/>
      <w:sz w:val="18"/>
      <w:szCs w:val="18"/>
    </w:rPr>
  </w:style>
  <w:style w:type="character" w:styleId="Jakoisticanje">
    <w:name w:val="Intense Emphasis"/>
    <w:basedOn w:val="Zadanifontodlomka"/>
    <w:uiPriority w:val="21"/>
    <w:qFormat/>
    <w:rPr>
      <w:i/>
      <w:caps/>
      <w:color w:val="E65B01" w:themeColor="accent1" w:themeShade="BF"/>
      <w:spacing w:val="10"/>
      <w:sz w:val="18"/>
      <w:szCs w:val="18"/>
    </w:rPr>
  </w:style>
  <w:style w:type="paragraph" w:styleId="Citat">
    <w:name w:val="Quote"/>
    <w:basedOn w:val="Normal"/>
    <w:link w:val="CitatChar"/>
    <w:uiPriority w:val="29"/>
    <w:qFormat/>
    <w:rPr>
      <w:i/>
    </w:rPr>
  </w:style>
  <w:style w:type="character" w:customStyle="1" w:styleId="CitatChar">
    <w:name w:val="Citat Char"/>
    <w:basedOn w:val="Zadanifontodlomka"/>
    <w:link w:val="Citat"/>
    <w:uiPriority w:val="29"/>
    <w:rPr>
      <w:rFonts w:cstheme="minorHAnsi"/>
      <w:i/>
      <w:color w:val="414751" w:themeColor="text2" w:themeShade="BF"/>
      <w:sz w:val="20"/>
      <w:szCs w:val="20"/>
    </w:rPr>
  </w:style>
  <w:style w:type="paragraph" w:styleId="Naglaencitat">
    <w:name w:val="Intense Quote"/>
    <w:basedOn w:val="Citat"/>
    <w:link w:val="Naglaencitat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NaglaencitatChar">
    <w:name w:val="Naglašen citat Char"/>
    <w:basedOn w:val="Zadanifontodlomka"/>
    <w:link w:val="Naglaencitat"/>
    <w:uiPriority w:val="30"/>
    <w:rPr>
      <w:rFonts w:cstheme="minorHAnsi"/>
      <w:color w:val="E65B01" w:themeColor="accent1" w:themeShade="BF"/>
      <w:sz w:val="20"/>
      <w:szCs w:val="20"/>
    </w:rPr>
  </w:style>
  <w:style w:type="character" w:styleId="Istaknutareferenca">
    <w:name w:val="Intense Reference"/>
    <w:basedOn w:val="Zadanifontodlomka"/>
    <w:uiPriority w:val="32"/>
    <w:qFormat/>
    <w:rPr>
      <w:rFonts w:cs="Times New Roman"/>
      <w:b/>
      <w:caps/>
      <w:color w:val="3667C3" w:themeColor="accent2" w:themeShade="BF"/>
      <w:spacing w:val="5"/>
      <w:sz w:val="18"/>
      <w:szCs w:val="18"/>
    </w:rPr>
  </w:style>
  <w:style w:type="paragraph" w:styleId="Odlomakpopisa">
    <w:name w:val="List Paragraph"/>
    <w:basedOn w:val="Normal"/>
    <w:uiPriority w:val="36"/>
    <w:unhideWhenUsed/>
    <w:qFormat/>
    <w:pPr>
      <w:ind w:left="720"/>
      <w:contextualSpacing/>
    </w:pPr>
  </w:style>
  <w:style w:type="paragraph" w:styleId="Obinouvueno">
    <w:name w:val="Normal Indent"/>
    <w:basedOn w:val="Normal"/>
    <w:uiPriority w:val="99"/>
    <w:unhideWhenUsed/>
    <w:pPr>
      <w:ind w:left="720"/>
      <w:contextualSpacing/>
    </w:pPr>
  </w:style>
  <w:style w:type="numbering" w:customStyle="1" w:styleId="Numeriranipopis">
    <w:name w:val="Numerirani popis"/>
    <w:uiPriority w:val="99"/>
    <w:pPr>
      <w:numPr>
        <w:numId w:val="2"/>
      </w:numPr>
    </w:pPr>
  </w:style>
  <w:style w:type="character" w:styleId="Tekstrezerviranogmjesta">
    <w:name w:val="Placeholder Text"/>
    <w:basedOn w:val="Zadanifontodlomka"/>
    <w:uiPriority w:val="99"/>
    <w:unhideWhenUsed/>
    <w:rPr>
      <w:color w:val="808080"/>
    </w:rPr>
  </w:style>
  <w:style w:type="character" w:styleId="Naglaeno">
    <w:name w:val="Strong"/>
    <w:basedOn w:val="Zadanifontodlomka"/>
    <w:uiPriority w:val="22"/>
    <w:qFormat/>
    <w:rPr>
      <w:b/>
      <w:bCs/>
    </w:rPr>
  </w:style>
  <w:style w:type="character" w:styleId="Neupadljivoisticanje">
    <w:name w:val="Subtle Emphasis"/>
    <w:basedOn w:val="Zadanifontodlomka"/>
    <w:uiPriority w:val="19"/>
    <w:qFormat/>
    <w:rPr>
      <w:i/>
      <w:color w:val="E65B01" w:themeColor="accent1" w:themeShade="BF"/>
    </w:rPr>
  </w:style>
  <w:style w:type="character" w:styleId="Neupadljivareferenca">
    <w:name w:val="Subtle Reference"/>
    <w:basedOn w:val="Zadanifontodlomka"/>
    <w:uiPriority w:val="31"/>
    <w:qFormat/>
    <w:rPr>
      <w:rFonts w:cs="Times New Roman"/>
      <w:b/>
      <w:i/>
      <w:color w:val="3667C3" w:themeColor="accent2" w:themeShade="BF"/>
    </w:rPr>
  </w:style>
  <w:style w:type="table" w:styleId="Reetkatablice">
    <w:name w:val="Table Grid"/>
    <w:basedOn w:val="Obinatablica"/>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link w:val="BezproredaChar"/>
    <w:uiPriority w:val="1"/>
    <w:qFormat/>
    <w:rsid w:val="00715134"/>
    <w:pPr>
      <w:spacing w:after="0" w:line="240" w:lineRule="auto"/>
    </w:pPr>
    <w:rPr>
      <w:rFonts w:ascii="Calibri" w:eastAsia="Calibri" w:hAnsi="Calibri" w:cs="Times New Roman"/>
      <w:lang w:eastAsia="en-US"/>
    </w:rPr>
  </w:style>
  <w:style w:type="character" w:customStyle="1" w:styleId="BezproredaChar">
    <w:name w:val="Bez proreda Char"/>
    <w:basedOn w:val="Zadanifontodlomka"/>
    <w:link w:val="Bezproreda"/>
    <w:uiPriority w:val="1"/>
    <w:rsid w:val="00715134"/>
    <w:rPr>
      <w:rFonts w:ascii="Calibri" w:eastAsia="Calibri" w:hAnsi="Calibri" w:cs="Times New Roman"/>
      <w:lang w:eastAsia="en-US"/>
    </w:rPr>
  </w:style>
  <w:style w:type="paragraph" w:customStyle="1" w:styleId="t-9-8">
    <w:name w:val="t-9-8"/>
    <w:basedOn w:val="Normal"/>
    <w:rsid w:val="005D2916"/>
    <w:pPr>
      <w:spacing w:before="100" w:beforeAutospacing="1" w:after="225" w:line="240" w:lineRule="auto"/>
    </w:pPr>
    <w:rPr>
      <w:rFonts w:ascii="Times New Roman" w:eastAsia="Times New Roman" w:hAnsi="Times New Roman" w:cs="Times New Roman"/>
      <w:color w:val="auto"/>
      <w:sz w:val="24"/>
      <w:szCs w:val="24"/>
    </w:rPr>
  </w:style>
  <w:style w:type="table" w:styleId="Obinatablica5">
    <w:name w:val="Plain Table 5"/>
    <w:basedOn w:val="Obinatablica"/>
    <w:uiPriority w:val="45"/>
    <w:rsid w:val="004D0C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5">
    <w:name w:val="Grid Table 5 Dark Accent 5"/>
    <w:basedOn w:val="Obinatablica"/>
    <w:uiPriority w:val="50"/>
    <w:rsid w:val="004D0C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1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BA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BA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BA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BAD5" w:themeFill="accent5"/>
      </w:tcPr>
    </w:tblStylePr>
    <w:tblStylePr w:type="band1Vert">
      <w:tblPr/>
      <w:tcPr>
        <w:shd w:val="clear" w:color="auto" w:fill="DEE3EE" w:themeFill="accent5" w:themeFillTint="66"/>
      </w:tcPr>
    </w:tblStylePr>
    <w:tblStylePr w:type="band1Horz">
      <w:tblPr/>
      <w:tcPr>
        <w:shd w:val="clear" w:color="auto" w:fill="DEE3EE" w:themeFill="accent5" w:themeFillTint="66"/>
      </w:tcPr>
    </w:tblStylePr>
  </w:style>
  <w:style w:type="table" w:styleId="ivopisnatablicareetke6-isticanje6">
    <w:name w:val="Grid Table 6 Colorful Accent 6"/>
    <w:basedOn w:val="Obinatablica"/>
    <w:uiPriority w:val="51"/>
    <w:rsid w:val="00730712"/>
    <w:pPr>
      <w:spacing w:after="0" w:line="240" w:lineRule="auto"/>
    </w:pPr>
    <w:rPr>
      <w:color w:val="595C62" w:themeColor="accent6" w:themeShade="BF"/>
    </w:rPr>
    <w:tblPr>
      <w:tblStyleRowBandSize w:val="1"/>
      <w:tblStyleColBandSize w:val="1"/>
      <w:tblBorders>
        <w:top w:val="single" w:sz="4" w:space="0" w:color="ADB0B5" w:themeColor="accent6" w:themeTint="99"/>
        <w:left w:val="single" w:sz="4" w:space="0" w:color="ADB0B5" w:themeColor="accent6" w:themeTint="99"/>
        <w:bottom w:val="single" w:sz="4" w:space="0" w:color="ADB0B5" w:themeColor="accent6" w:themeTint="99"/>
        <w:right w:val="single" w:sz="4" w:space="0" w:color="ADB0B5" w:themeColor="accent6" w:themeTint="99"/>
        <w:insideH w:val="single" w:sz="4" w:space="0" w:color="ADB0B5" w:themeColor="accent6" w:themeTint="99"/>
        <w:insideV w:val="single" w:sz="4" w:space="0" w:color="ADB0B5" w:themeColor="accent6" w:themeTint="99"/>
      </w:tblBorders>
    </w:tblPr>
    <w:tblStylePr w:type="firstRow">
      <w:rPr>
        <w:b/>
        <w:bCs/>
      </w:rPr>
      <w:tblPr/>
      <w:tcPr>
        <w:tcBorders>
          <w:bottom w:val="single" w:sz="12" w:space="0" w:color="ADB0B5" w:themeColor="accent6" w:themeTint="99"/>
        </w:tcBorders>
      </w:tcPr>
    </w:tblStylePr>
    <w:tblStylePr w:type="lastRow">
      <w:rPr>
        <w:b/>
        <w:bCs/>
      </w:rPr>
      <w:tblPr/>
      <w:tcPr>
        <w:tcBorders>
          <w:top w:val="double" w:sz="4" w:space="0" w:color="ADB0B5" w:themeColor="accent6" w:themeTint="99"/>
        </w:tcBorders>
      </w:tcPr>
    </w:tblStylePr>
    <w:tblStylePr w:type="firstCol">
      <w:rPr>
        <w:b/>
        <w:bCs/>
      </w:rPr>
    </w:tblStylePr>
    <w:tblStylePr w:type="lastCol">
      <w:rPr>
        <w:b/>
        <w:bCs/>
      </w:rPr>
    </w:tblStylePr>
    <w:tblStylePr w:type="band1Vert">
      <w:tblPr/>
      <w:tcPr>
        <w:shd w:val="clear" w:color="auto" w:fill="E3E4E6" w:themeFill="accent6" w:themeFillTint="33"/>
      </w:tcPr>
    </w:tblStylePr>
    <w:tblStylePr w:type="band1Horz">
      <w:tblPr/>
      <w:tcPr>
        <w:shd w:val="clear" w:color="auto" w:fill="E3E4E6" w:themeFill="accent6" w:themeFillTint="33"/>
      </w:tcPr>
    </w:tblStylePr>
  </w:style>
  <w:style w:type="table" w:styleId="Obinatablica3">
    <w:name w:val="Plain Table 3"/>
    <w:basedOn w:val="Obinatablica"/>
    <w:uiPriority w:val="43"/>
    <w:rsid w:val="004066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6660">
      <w:bodyDiv w:val="1"/>
      <w:marLeft w:val="0"/>
      <w:marRight w:val="0"/>
      <w:marTop w:val="0"/>
      <w:marBottom w:val="0"/>
      <w:divBdr>
        <w:top w:val="none" w:sz="0" w:space="0" w:color="auto"/>
        <w:left w:val="none" w:sz="0" w:space="0" w:color="auto"/>
        <w:bottom w:val="none" w:sz="0" w:space="0" w:color="auto"/>
        <w:right w:val="none" w:sz="0" w:space="0" w:color="auto"/>
      </w:divBdr>
    </w:div>
    <w:div w:id="164825051">
      <w:bodyDiv w:val="1"/>
      <w:marLeft w:val="0"/>
      <w:marRight w:val="0"/>
      <w:marTop w:val="0"/>
      <w:marBottom w:val="0"/>
      <w:divBdr>
        <w:top w:val="none" w:sz="0" w:space="0" w:color="auto"/>
        <w:left w:val="none" w:sz="0" w:space="0" w:color="auto"/>
        <w:bottom w:val="none" w:sz="0" w:space="0" w:color="auto"/>
        <w:right w:val="none" w:sz="0" w:space="0" w:color="auto"/>
      </w:divBdr>
    </w:div>
    <w:div w:id="248125630">
      <w:bodyDiv w:val="1"/>
      <w:marLeft w:val="0"/>
      <w:marRight w:val="0"/>
      <w:marTop w:val="0"/>
      <w:marBottom w:val="0"/>
      <w:divBdr>
        <w:top w:val="none" w:sz="0" w:space="0" w:color="auto"/>
        <w:left w:val="none" w:sz="0" w:space="0" w:color="auto"/>
        <w:bottom w:val="none" w:sz="0" w:space="0" w:color="auto"/>
        <w:right w:val="none" w:sz="0" w:space="0" w:color="auto"/>
      </w:divBdr>
    </w:div>
    <w:div w:id="318580533">
      <w:bodyDiv w:val="1"/>
      <w:marLeft w:val="0"/>
      <w:marRight w:val="0"/>
      <w:marTop w:val="0"/>
      <w:marBottom w:val="0"/>
      <w:divBdr>
        <w:top w:val="none" w:sz="0" w:space="0" w:color="auto"/>
        <w:left w:val="none" w:sz="0" w:space="0" w:color="auto"/>
        <w:bottom w:val="none" w:sz="0" w:space="0" w:color="auto"/>
        <w:right w:val="none" w:sz="0" w:space="0" w:color="auto"/>
      </w:divBdr>
    </w:div>
    <w:div w:id="627014041">
      <w:bodyDiv w:val="1"/>
      <w:marLeft w:val="0"/>
      <w:marRight w:val="0"/>
      <w:marTop w:val="0"/>
      <w:marBottom w:val="0"/>
      <w:divBdr>
        <w:top w:val="none" w:sz="0" w:space="0" w:color="auto"/>
        <w:left w:val="none" w:sz="0" w:space="0" w:color="auto"/>
        <w:bottom w:val="none" w:sz="0" w:space="0" w:color="auto"/>
        <w:right w:val="none" w:sz="0" w:space="0" w:color="auto"/>
      </w:divBdr>
    </w:div>
    <w:div w:id="827599979">
      <w:bodyDiv w:val="1"/>
      <w:marLeft w:val="0"/>
      <w:marRight w:val="0"/>
      <w:marTop w:val="0"/>
      <w:marBottom w:val="0"/>
      <w:divBdr>
        <w:top w:val="none" w:sz="0" w:space="0" w:color="auto"/>
        <w:left w:val="none" w:sz="0" w:space="0" w:color="auto"/>
        <w:bottom w:val="none" w:sz="0" w:space="0" w:color="auto"/>
        <w:right w:val="none" w:sz="0" w:space="0" w:color="auto"/>
      </w:divBdr>
    </w:div>
    <w:div w:id="849611593">
      <w:bodyDiv w:val="1"/>
      <w:marLeft w:val="0"/>
      <w:marRight w:val="0"/>
      <w:marTop w:val="0"/>
      <w:marBottom w:val="0"/>
      <w:divBdr>
        <w:top w:val="none" w:sz="0" w:space="0" w:color="auto"/>
        <w:left w:val="none" w:sz="0" w:space="0" w:color="auto"/>
        <w:bottom w:val="none" w:sz="0" w:space="0" w:color="auto"/>
        <w:right w:val="none" w:sz="0" w:space="0" w:color="auto"/>
      </w:divBdr>
    </w:div>
    <w:div w:id="1479221041">
      <w:bodyDiv w:val="1"/>
      <w:marLeft w:val="0"/>
      <w:marRight w:val="0"/>
      <w:marTop w:val="0"/>
      <w:marBottom w:val="0"/>
      <w:divBdr>
        <w:top w:val="none" w:sz="0" w:space="0" w:color="auto"/>
        <w:left w:val="none" w:sz="0" w:space="0" w:color="auto"/>
        <w:bottom w:val="none" w:sz="0" w:space="0" w:color="auto"/>
        <w:right w:val="none" w:sz="0" w:space="0" w:color="auto"/>
      </w:divBdr>
    </w:div>
    <w:div w:id="1756782205">
      <w:bodyDiv w:val="1"/>
      <w:marLeft w:val="0"/>
      <w:marRight w:val="0"/>
      <w:marTop w:val="0"/>
      <w:marBottom w:val="0"/>
      <w:divBdr>
        <w:top w:val="none" w:sz="0" w:space="0" w:color="auto"/>
        <w:left w:val="none" w:sz="0" w:space="0" w:color="auto"/>
        <w:bottom w:val="none" w:sz="0" w:space="0" w:color="auto"/>
        <w:right w:val="none" w:sz="0" w:space="0" w:color="auto"/>
      </w:divBdr>
      <w:divsChild>
        <w:div w:id="523788090">
          <w:marLeft w:val="0"/>
          <w:marRight w:val="0"/>
          <w:marTop w:val="0"/>
          <w:marBottom w:val="0"/>
          <w:divBdr>
            <w:top w:val="none" w:sz="0" w:space="0" w:color="auto"/>
            <w:left w:val="none" w:sz="0" w:space="0" w:color="auto"/>
            <w:bottom w:val="none" w:sz="0" w:space="0" w:color="auto"/>
            <w:right w:val="none" w:sz="0" w:space="0" w:color="auto"/>
          </w:divBdr>
          <w:divsChild>
            <w:div w:id="1732531890">
              <w:marLeft w:val="0"/>
              <w:marRight w:val="0"/>
              <w:marTop w:val="0"/>
              <w:marBottom w:val="0"/>
              <w:divBdr>
                <w:top w:val="none" w:sz="0" w:space="0" w:color="auto"/>
                <w:left w:val="none" w:sz="0" w:space="0" w:color="auto"/>
                <w:bottom w:val="none" w:sz="0" w:space="0" w:color="auto"/>
                <w:right w:val="none" w:sz="0" w:space="0" w:color="auto"/>
              </w:divBdr>
              <w:divsChild>
                <w:div w:id="1239367760">
                  <w:marLeft w:val="0"/>
                  <w:marRight w:val="0"/>
                  <w:marTop w:val="0"/>
                  <w:marBottom w:val="0"/>
                  <w:divBdr>
                    <w:top w:val="none" w:sz="0" w:space="0" w:color="auto"/>
                    <w:left w:val="none" w:sz="0" w:space="0" w:color="auto"/>
                    <w:bottom w:val="none" w:sz="0" w:space="0" w:color="auto"/>
                    <w:right w:val="none" w:sz="0" w:space="0" w:color="auto"/>
                  </w:divBdr>
                  <w:divsChild>
                    <w:div w:id="679084227">
                      <w:marLeft w:val="0"/>
                      <w:marRight w:val="0"/>
                      <w:marTop w:val="0"/>
                      <w:marBottom w:val="0"/>
                      <w:divBdr>
                        <w:top w:val="single" w:sz="6" w:space="0" w:color="E4E4E6"/>
                        <w:left w:val="none" w:sz="0" w:space="0" w:color="auto"/>
                        <w:bottom w:val="none" w:sz="0" w:space="0" w:color="auto"/>
                        <w:right w:val="none" w:sz="0" w:space="0" w:color="auto"/>
                      </w:divBdr>
                      <w:divsChild>
                        <w:div w:id="373970824">
                          <w:marLeft w:val="0"/>
                          <w:marRight w:val="0"/>
                          <w:marTop w:val="0"/>
                          <w:marBottom w:val="0"/>
                          <w:divBdr>
                            <w:top w:val="single" w:sz="6" w:space="0" w:color="E4E4E6"/>
                            <w:left w:val="none" w:sz="0" w:space="0" w:color="auto"/>
                            <w:bottom w:val="none" w:sz="0" w:space="0" w:color="auto"/>
                            <w:right w:val="none" w:sz="0" w:space="0" w:color="auto"/>
                          </w:divBdr>
                          <w:divsChild>
                            <w:div w:id="1156340042">
                              <w:marLeft w:val="0"/>
                              <w:marRight w:val="1500"/>
                              <w:marTop w:val="100"/>
                              <w:marBottom w:val="100"/>
                              <w:divBdr>
                                <w:top w:val="none" w:sz="0" w:space="0" w:color="auto"/>
                                <w:left w:val="none" w:sz="0" w:space="0" w:color="auto"/>
                                <w:bottom w:val="none" w:sz="0" w:space="0" w:color="auto"/>
                                <w:right w:val="none" w:sz="0" w:space="0" w:color="auto"/>
                              </w:divBdr>
                              <w:divsChild>
                                <w:div w:id="1603804350">
                                  <w:marLeft w:val="0"/>
                                  <w:marRight w:val="0"/>
                                  <w:marTop w:val="300"/>
                                  <w:marBottom w:val="450"/>
                                  <w:divBdr>
                                    <w:top w:val="none" w:sz="0" w:space="0" w:color="auto"/>
                                    <w:left w:val="none" w:sz="0" w:space="0" w:color="auto"/>
                                    <w:bottom w:val="none" w:sz="0" w:space="0" w:color="auto"/>
                                    <w:right w:val="none" w:sz="0" w:space="0" w:color="auto"/>
                                  </w:divBdr>
                                  <w:divsChild>
                                    <w:div w:id="1866601352">
                                      <w:marLeft w:val="0"/>
                                      <w:marRight w:val="0"/>
                                      <w:marTop w:val="0"/>
                                      <w:marBottom w:val="0"/>
                                      <w:divBdr>
                                        <w:top w:val="none" w:sz="0" w:space="0" w:color="auto"/>
                                        <w:left w:val="none" w:sz="0" w:space="0" w:color="auto"/>
                                        <w:bottom w:val="none" w:sz="0" w:space="0" w:color="auto"/>
                                        <w:right w:val="none" w:sz="0" w:space="0" w:color="auto"/>
                                      </w:divBdr>
                                      <w:divsChild>
                                        <w:div w:id="403524993">
                                          <w:marLeft w:val="0"/>
                                          <w:marRight w:val="0"/>
                                          <w:marTop w:val="0"/>
                                          <w:marBottom w:val="0"/>
                                          <w:divBdr>
                                            <w:top w:val="none" w:sz="0" w:space="0" w:color="auto"/>
                                            <w:left w:val="none" w:sz="0" w:space="0" w:color="auto"/>
                                            <w:bottom w:val="none" w:sz="0" w:space="0" w:color="auto"/>
                                            <w:right w:val="none" w:sz="0" w:space="0" w:color="auto"/>
                                          </w:divBdr>
                                          <w:divsChild>
                                            <w:div w:id="1864900451">
                                              <w:marLeft w:val="0"/>
                                              <w:marRight w:val="0"/>
                                              <w:marTop w:val="0"/>
                                              <w:marBottom w:val="0"/>
                                              <w:divBdr>
                                                <w:top w:val="none" w:sz="0" w:space="0" w:color="auto"/>
                                                <w:left w:val="none" w:sz="0" w:space="0" w:color="auto"/>
                                                <w:bottom w:val="none" w:sz="0" w:space="0" w:color="auto"/>
                                                <w:right w:val="none" w:sz="0" w:space="0" w:color="auto"/>
                                              </w:divBdr>
                                              <w:divsChild>
                                                <w:div w:id="2527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574265">
      <w:bodyDiv w:val="1"/>
      <w:marLeft w:val="0"/>
      <w:marRight w:val="0"/>
      <w:marTop w:val="0"/>
      <w:marBottom w:val="0"/>
      <w:divBdr>
        <w:top w:val="none" w:sz="0" w:space="0" w:color="auto"/>
        <w:left w:val="none" w:sz="0" w:space="0" w:color="auto"/>
        <w:bottom w:val="none" w:sz="0" w:space="0" w:color="auto"/>
        <w:right w:val="none" w:sz="0" w:space="0" w:color="auto"/>
      </w:divBdr>
    </w:div>
    <w:div w:id="21204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j144\AppData\Roaming\Microsoft\Predlo&#353;ci\Izvje&#353;&#263;e%20(tema%20Orie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797C8-DA9B-4158-8BE1-FEACDF9AF054}">
  <ds:schemaRefs>
    <ds:schemaRef ds:uri="http://schemas.microsoft.com/sharepoint/v3/contenttype/forms"/>
  </ds:schemaRefs>
</ds:datastoreItem>
</file>

<file path=customXml/itemProps2.xml><?xml version="1.0" encoding="utf-8"?>
<ds:datastoreItem xmlns:ds="http://schemas.openxmlformats.org/officeDocument/2006/customXml" ds:itemID="{34A8B99D-3D32-4222-9F14-B3A9FC1C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Izvješće (tema Oriel).dotx</Template>
  <TotalTime>1260</TotalTime>
  <Pages>8</Pages>
  <Words>3898</Words>
  <Characters>22222</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Knj14</dc:creator>
  <cp:keywords/>
  <cp:lastModifiedBy>Knj14</cp:lastModifiedBy>
  <cp:revision>60</cp:revision>
  <cp:lastPrinted>2019-01-31T07:55:00Z</cp:lastPrinted>
  <dcterms:created xsi:type="dcterms:W3CDTF">2017-01-27T09:04:00Z</dcterms:created>
  <dcterms:modified xsi:type="dcterms:W3CDTF">2021-01-27T14:09:00Z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